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BC5B1E" w:rsidRDefault="00675556"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О</w:t>
      </w:r>
      <w:r w:rsidR="00E008D9" w:rsidRPr="007423F0">
        <w:rPr>
          <w:rFonts w:ascii="Arial" w:hAnsi="Arial" w:cs="Arial"/>
          <w:bCs/>
          <w:sz w:val="18"/>
          <w:szCs w:val="18"/>
        </w:rPr>
        <w:t>т</w:t>
      </w:r>
      <w:r>
        <w:rPr>
          <w:rFonts w:ascii="Arial" w:hAnsi="Arial" w:cs="Arial"/>
          <w:bCs/>
          <w:sz w:val="18"/>
          <w:szCs w:val="18"/>
        </w:rPr>
        <w:t xml:space="preserve"> 11 марта</w:t>
      </w:r>
      <w:r w:rsidR="00E008D9" w:rsidRPr="007423F0">
        <w:rPr>
          <w:rFonts w:ascii="Arial" w:hAnsi="Arial" w:cs="Arial"/>
          <w:bCs/>
          <w:sz w:val="18"/>
          <w:szCs w:val="18"/>
        </w:rPr>
        <w:t xml:space="preserve"> </w:t>
      </w:r>
      <w:r w:rsidR="00057E6E" w:rsidRPr="007423F0">
        <w:rPr>
          <w:rFonts w:ascii="Arial" w:hAnsi="Arial" w:cs="Arial"/>
          <w:bCs/>
          <w:sz w:val="18"/>
          <w:szCs w:val="18"/>
        </w:rPr>
        <w:t xml:space="preserve"> </w:t>
      </w:r>
      <w:r w:rsidR="00BC5B1E" w:rsidRPr="007423F0">
        <w:rPr>
          <w:rFonts w:ascii="Arial" w:hAnsi="Arial" w:cs="Arial"/>
          <w:bCs/>
          <w:sz w:val="18"/>
          <w:szCs w:val="18"/>
        </w:rPr>
        <w:t>20</w:t>
      </w:r>
      <w:r w:rsidR="00724848">
        <w:rPr>
          <w:rFonts w:ascii="Arial" w:hAnsi="Arial" w:cs="Arial"/>
          <w:bCs/>
          <w:sz w:val="18"/>
          <w:szCs w:val="18"/>
        </w:rPr>
        <w:t>20</w:t>
      </w:r>
      <w:r w:rsidR="00E61784">
        <w:rPr>
          <w:rFonts w:ascii="Arial" w:hAnsi="Arial" w:cs="Arial"/>
          <w:bCs/>
          <w:sz w:val="18"/>
          <w:szCs w:val="18"/>
        </w:rPr>
        <w:t>г.</w:t>
      </w:r>
      <w:r w:rsidR="00E008D9" w:rsidRPr="007423F0">
        <w:rPr>
          <w:rFonts w:ascii="Arial" w:hAnsi="Arial" w:cs="Arial"/>
          <w:bCs/>
          <w:sz w:val="18"/>
          <w:szCs w:val="18"/>
        </w:rPr>
        <w:t xml:space="preserve"> </w:t>
      </w:r>
      <w:r w:rsidR="004F69BA" w:rsidRPr="007423F0">
        <w:rPr>
          <w:rFonts w:ascii="Arial" w:hAnsi="Arial" w:cs="Arial"/>
          <w:sz w:val="18"/>
          <w:szCs w:val="18"/>
        </w:rPr>
        <w:t xml:space="preserve"> №</w:t>
      </w:r>
      <w:r>
        <w:rPr>
          <w:rFonts w:ascii="Arial" w:hAnsi="Arial" w:cs="Arial"/>
          <w:sz w:val="18"/>
          <w:szCs w:val="18"/>
        </w:rPr>
        <w:t>164</w:t>
      </w:r>
    </w:p>
    <w:p w:rsidR="00931997" w:rsidRPr="007423F0" w:rsidRDefault="00931997" w:rsidP="004F69BA">
      <w:pPr>
        <w:widowControl w:val="0"/>
        <w:suppressAutoHyphens w:val="0"/>
        <w:autoSpaceDE w:val="0"/>
        <w:autoSpaceDN w:val="0"/>
        <w:adjustRightInd w:val="0"/>
        <w:rPr>
          <w:rFonts w:ascii="Arial" w:hAnsi="Arial" w:cs="Arial"/>
          <w:sz w:val="18"/>
          <w:szCs w:val="18"/>
        </w:rPr>
      </w:pP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724848" w:rsidRPr="00724848" w:rsidRDefault="00724848" w:rsidP="00724848">
      <w:pPr>
        <w:snapToGrid w:val="0"/>
        <w:rPr>
          <w:rFonts w:ascii="Arial" w:eastAsia="Arial Unicode MS" w:hAnsi="Arial" w:cs="Arial"/>
          <w:color w:val="000000"/>
          <w:sz w:val="18"/>
          <w:szCs w:val="18"/>
          <w:lang w:eastAsia="ru-RU"/>
        </w:rPr>
      </w:pPr>
      <w:r w:rsidRPr="00724848">
        <w:rPr>
          <w:rFonts w:ascii="Arial" w:eastAsia="Arial Unicode MS" w:hAnsi="Arial" w:cs="Arial"/>
          <w:color w:val="000000"/>
          <w:sz w:val="18"/>
          <w:szCs w:val="18"/>
          <w:lang w:eastAsia="ru-RU"/>
        </w:rPr>
        <w:t xml:space="preserve">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  От 12 декабря 2014 г. №157  </w:t>
      </w:r>
      <w:r w:rsidRPr="00724848">
        <w:rPr>
          <w:rFonts w:ascii="Arial" w:eastAsia="Arial Unicode MS" w:hAnsi="Arial" w:cs="Arial"/>
          <w:bCs/>
          <w:color w:val="000000"/>
          <w:sz w:val="18"/>
          <w:szCs w:val="18"/>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724848">
        <w:rPr>
          <w:rFonts w:ascii="Arial" w:eastAsia="Arial Unicode MS" w:hAnsi="Arial" w:cs="Arial"/>
          <w:color w:val="000000"/>
          <w:sz w:val="18"/>
          <w:szCs w:val="18"/>
          <w:lang w:eastAsia="ru-RU"/>
        </w:rPr>
        <w:t>решением Собрания депутатов №123 от 19.12.2019 года «О внесении изменений в Решение №84 от 14.12.2018г. «О бюджете МО «Дичнянский сельсовет на 2019 год и плановый период 2020-2021 годы», Решением Собрания депутатов №118 от 05.12.2020г. О бюджете МО «Дичнянский сельсовет на 2020 год и плановый период 2021-2022 годы» с внесенными изменениями Решением №135 от 17.01.2020г.Администрация Дичнянского сельсовета ПОСТАНОВЛЯЕТ:</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овление №391 от 13.11.2018г. и у</w:t>
      </w:r>
      <w:r w:rsidR="004E30A4" w:rsidRPr="00526719">
        <w:rPr>
          <w:rFonts w:ascii="Arial" w:hAnsi="Arial" w:cs="Arial"/>
          <w:sz w:val="18"/>
          <w:szCs w:val="18"/>
        </w:rPr>
        <w:t xml:space="preserve">твердить  муниципальную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отдела- главному бухгалтеру Администрации Дичнянского сельсовета Курчатовского района Курской области (В.А.Звягинцевой)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2020 год и плановый период 2021 и 2022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Глава сельсовета                                      В.Н.Тарасов</w:t>
      </w:r>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75556">
        <w:rPr>
          <w:rFonts w:ascii="Arial" w:hAnsi="Arial" w:cs="Arial"/>
          <w:b/>
          <w:bCs/>
          <w:sz w:val="18"/>
          <w:szCs w:val="18"/>
        </w:rPr>
        <w:t>164</w:t>
      </w:r>
      <w:r w:rsidR="00724848">
        <w:rPr>
          <w:rFonts w:ascii="Arial" w:hAnsi="Arial" w:cs="Arial"/>
          <w:b/>
          <w:bCs/>
          <w:sz w:val="18"/>
          <w:szCs w:val="18"/>
        </w:rPr>
        <w:t xml:space="preserve"> от</w:t>
      </w:r>
      <w:r w:rsidR="00675556">
        <w:rPr>
          <w:rFonts w:ascii="Arial" w:hAnsi="Arial" w:cs="Arial"/>
          <w:b/>
          <w:bCs/>
          <w:sz w:val="18"/>
          <w:szCs w:val="18"/>
        </w:rPr>
        <w:t xml:space="preserve"> 11.03.</w:t>
      </w:r>
      <w:bookmarkStart w:id="0" w:name="_GoBack"/>
      <w:bookmarkEnd w:id="0"/>
      <w:r w:rsidR="00724848">
        <w:rPr>
          <w:rFonts w:ascii="Arial" w:hAnsi="Arial" w:cs="Arial"/>
          <w:b/>
          <w:bCs/>
          <w:sz w:val="18"/>
          <w:szCs w:val="18"/>
        </w:rPr>
        <w:t xml:space="preserve">  2020</w:t>
      </w:r>
      <w:r w:rsidR="006B024B">
        <w:rPr>
          <w:rFonts w:ascii="Arial" w:hAnsi="Arial" w:cs="Arial"/>
          <w:b/>
          <w:bCs/>
          <w:sz w:val="18"/>
          <w:szCs w:val="18"/>
        </w:rPr>
        <w:t>г.</w:t>
      </w:r>
    </w:p>
    <w:p w:rsidR="00105F35" w:rsidRPr="007423F0" w:rsidRDefault="00105F35" w:rsidP="00026306">
      <w:pPr>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«ЦКиД»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«ЦКиД»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r w:rsidR="00F60142">
              <w:rPr>
                <w:rFonts w:ascii="Arial" w:hAnsi="Arial" w:cs="Arial"/>
                <w:sz w:val="18"/>
                <w:szCs w:val="18"/>
              </w:rPr>
              <w:t>2.</w:t>
            </w:r>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24848" w:rsidRDefault="00CA4885" w:rsidP="00CA4885">
            <w:pPr>
              <w:snapToGrid w:val="0"/>
              <w:jc w:val="both"/>
              <w:rPr>
                <w:rFonts w:ascii="Arial" w:hAnsi="Arial" w:cs="Arial"/>
                <w:b/>
                <w:sz w:val="18"/>
                <w:szCs w:val="18"/>
              </w:rPr>
            </w:pPr>
            <w:r w:rsidRPr="007423F0">
              <w:rPr>
                <w:rFonts w:ascii="Arial" w:hAnsi="Arial" w:cs="Arial"/>
                <w:sz w:val="18"/>
                <w:szCs w:val="18"/>
              </w:rPr>
              <w:t xml:space="preserve">Объем финансирования Программы на 2019-2025 годы составляет </w:t>
            </w:r>
            <w:r w:rsidR="00724848" w:rsidRPr="00724848">
              <w:rPr>
                <w:rFonts w:ascii="Arial" w:hAnsi="Arial" w:cs="Arial"/>
                <w:b/>
                <w:sz w:val="18"/>
                <w:szCs w:val="18"/>
              </w:rPr>
              <w:t>950,30183</w:t>
            </w:r>
            <w:r w:rsidRPr="00724848">
              <w:rPr>
                <w:rFonts w:ascii="Arial" w:hAnsi="Arial" w:cs="Arial"/>
                <w:b/>
                <w:sz w:val="18"/>
                <w:szCs w:val="18"/>
              </w:rPr>
              <w:t xml:space="preserve"> тыс. руб., в том числе:</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2019 г. –</w:t>
            </w:r>
            <w:r w:rsidR="00724848" w:rsidRPr="00724848">
              <w:rPr>
                <w:rFonts w:ascii="Arial" w:hAnsi="Arial" w:cs="Arial"/>
                <w:b/>
                <w:sz w:val="18"/>
                <w:szCs w:val="18"/>
              </w:rPr>
              <w:t>26,7</w:t>
            </w:r>
            <w:r w:rsidRPr="00724848">
              <w:rPr>
                <w:rFonts w:ascii="Arial" w:hAnsi="Arial" w:cs="Arial"/>
                <w:b/>
                <w:sz w:val="18"/>
                <w:szCs w:val="18"/>
              </w:rPr>
              <w:t>,0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 </w:t>
            </w:r>
            <w:r w:rsidR="00724848" w:rsidRPr="00724848">
              <w:rPr>
                <w:rFonts w:ascii="Arial" w:hAnsi="Arial" w:cs="Arial"/>
                <w:b/>
                <w:sz w:val="18"/>
                <w:szCs w:val="18"/>
              </w:rPr>
              <w:t>254,11461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724848" w:rsidRPr="00724848">
              <w:rPr>
                <w:rFonts w:ascii="Arial" w:hAnsi="Arial" w:cs="Arial"/>
                <w:b/>
                <w:sz w:val="18"/>
                <w:szCs w:val="18"/>
              </w:rPr>
              <w:t>253,58761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724848" w:rsidRPr="00724848">
              <w:rPr>
                <w:rFonts w:ascii="Arial" w:hAnsi="Arial" w:cs="Arial"/>
                <w:b/>
                <w:sz w:val="18"/>
                <w:szCs w:val="18"/>
              </w:rPr>
              <w:t>265,89961</w:t>
            </w:r>
            <w:r w:rsidRPr="00724848">
              <w:rPr>
                <w:rFonts w:ascii="Arial" w:hAnsi="Arial" w:cs="Arial"/>
                <w:b/>
                <w:sz w:val="18"/>
                <w:szCs w:val="18"/>
              </w:rPr>
              <w:t xml:space="preserve"> тыс.рублей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2023 г. – 50,0 тыс.рублей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2024 г. -  50,0 тыс.рублей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2025 г. – 50,0 тыс.рублей</w:t>
            </w:r>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степени охвата детей и молодежи Дичнянского сельсовета молодежными  и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обустройство 1 детской игровой площадки в с.Дичня;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Основные программные мероприятия связаны с развитием физической культуры и массового спорта, в т.ч.,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показателей и индикаторов муниципальной программы определен исходя из:</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общим показателям (индикаторам) муниципальной программы отнесены: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724848" w:rsidRPr="00724848" w:rsidRDefault="00CA4885" w:rsidP="00724848">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724848" w:rsidRPr="00724848">
        <w:rPr>
          <w:rFonts w:ascii="Arial" w:hAnsi="Arial" w:cs="Arial"/>
          <w:b/>
          <w:sz w:val="18"/>
          <w:szCs w:val="18"/>
        </w:rPr>
        <w:t>950,30183 тыс. руб., в том числе:</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2019 г. –26,7,0 тыс.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2020 г. – 254,11461  тыс.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2021 г. – 253,58761 тыс.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2022 г. –265,89961 тыс.рублей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2023 г. – 50,0 тыс.рублей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2024 г. -  50,0 тыс.рублей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2025 г. – 50,0 тыс.рублей</w:t>
      </w:r>
    </w:p>
    <w:p w:rsidR="00CA4885" w:rsidRPr="00CA4885" w:rsidRDefault="00CA4885" w:rsidP="00724848">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10.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равным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СРм = Мв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СРм - степень реализации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Мв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1" w:name="P3206"/>
      <w:bookmarkEnd w:id="1"/>
      <w:r w:rsidRPr="00CA4885">
        <w:rPr>
          <w:rFonts w:ascii="Arial" w:hAnsi="Arial" w:cs="Arial"/>
          <w:sz w:val="18"/>
          <w:szCs w:val="18"/>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2" w:name="P3207"/>
      <w:bookmarkEnd w:id="2"/>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 иным мероприятиям результаты реализации могут оцениваться как наступление или ненаступление и (или) достижение качественного результата (оценка проводится экспертно).</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«ЦКиД»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«ЦКиД»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2022 г. – 5,0 тыс.рублей</w:t>
            </w:r>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,0 тыс.рублей</w:t>
            </w:r>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,0 тыс.рублей</w:t>
            </w:r>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,0 тыс.рублей</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вовлечь детей и молодёжь</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3" w:name="sub_1000"/>
      <w:bookmarkStart w:id="4" w:name="sub_629"/>
    </w:p>
    <w:bookmarkEnd w:id="3"/>
    <w:bookmarkEnd w:id="4"/>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5,0  тыс.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2022 г. – 5,0 тыс.рублей</w:t>
      </w:r>
    </w:p>
    <w:p w:rsidR="00DF2A5A" w:rsidRPr="00AB0D09" w:rsidRDefault="00DF2A5A" w:rsidP="00DF2A5A">
      <w:pPr>
        <w:jc w:val="both"/>
        <w:rPr>
          <w:rFonts w:ascii="Arial" w:hAnsi="Arial" w:cs="Arial"/>
        </w:rPr>
      </w:pPr>
      <w:r w:rsidRPr="00AB0D09">
        <w:rPr>
          <w:rFonts w:ascii="Arial" w:hAnsi="Arial" w:cs="Arial"/>
        </w:rPr>
        <w:t>2023 г. – 5,0 тыс.рублей</w:t>
      </w:r>
    </w:p>
    <w:p w:rsidR="00DF2A5A" w:rsidRPr="00AB0D09" w:rsidRDefault="00DF2A5A" w:rsidP="00DF2A5A">
      <w:pPr>
        <w:jc w:val="both"/>
        <w:rPr>
          <w:rFonts w:ascii="Arial" w:hAnsi="Arial" w:cs="Arial"/>
        </w:rPr>
      </w:pPr>
      <w:r w:rsidRPr="00AB0D09">
        <w:rPr>
          <w:rFonts w:ascii="Arial" w:hAnsi="Arial" w:cs="Arial"/>
        </w:rPr>
        <w:t>2024 г. -  5,0 тыс.рублей</w:t>
      </w:r>
    </w:p>
    <w:p w:rsidR="00DF2A5A" w:rsidRPr="00AB0D09" w:rsidRDefault="00DF2A5A" w:rsidP="00DF2A5A">
      <w:pPr>
        <w:jc w:val="both"/>
        <w:rPr>
          <w:rFonts w:ascii="Arial" w:hAnsi="Arial" w:cs="Arial"/>
        </w:rPr>
      </w:pPr>
      <w:r w:rsidRPr="00AB0D09">
        <w:rPr>
          <w:rFonts w:ascii="Arial" w:hAnsi="Arial" w:cs="Arial"/>
        </w:rPr>
        <w:t>2025 г. – 5,0 тыс.рублей</w:t>
      </w:r>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724848" w:rsidRPr="00B61F01">
              <w:rPr>
                <w:rFonts w:ascii="Arial" w:hAnsi="Arial" w:cs="Arial"/>
                <w:b/>
              </w:rPr>
              <w:t>915</w:t>
            </w:r>
            <w:r w:rsidR="00A62315" w:rsidRPr="00B61F01">
              <w:rPr>
                <w:rFonts w:ascii="Arial" w:hAnsi="Arial" w:cs="Arial"/>
                <w:b/>
              </w:rPr>
              <w:t>,</w:t>
            </w:r>
            <w:r w:rsidR="00724848" w:rsidRPr="00B61F01">
              <w:rPr>
                <w:rFonts w:ascii="Arial" w:hAnsi="Arial" w:cs="Arial"/>
                <w:b/>
              </w:rPr>
              <w:t>30183</w:t>
            </w:r>
            <w:r w:rsidR="00A62315" w:rsidRPr="00B61F01">
              <w:rPr>
                <w:rFonts w:ascii="Arial" w:hAnsi="Arial" w:cs="Arial"/>
                <w:b/>
              </w:rPr>
              <w:t xml:space="preserve"> тыс.</w:t>
            </w:r>
            <w:r w:rsidRPr="00B61F01">
              <w:rPr>
                <w:rFonts w:ascii="Arial" w:hAnsi="Arial" w:cs="Arial"/>
                <w:b/>
              </w:rPr>
              <w:t xml:space="preserve"> рублей, в т.ч.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724848" w:rsidRPr="00B61F01">
              <w:rPr>
                <w:rFonts w:ascii="Arial" w:hAnsi="Arial" w:cs="Arial"/>
                <w:b/>
              </w:rPr>
              <w:t>21,7</w:t>
            </w:r>
            <w:r w:rsidR="00A62315" w:rsidRPr="00B61F01">
              <w:rPr>
                <w:rFonts w:ascii="Arial" w:hAnsi="Arial" w:cs="Arial"/>
                <w:b/>
              </w:rPr>
              <w:t xml:space="preserve"> тыс.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724848" w:rsidRPr="00B61F01">
              <w:rPr>
                <w:rFonts w:ascii="Arial" w:hAnsi="Arial" w:cs="Arial"/>
                <w:b/>
              </w:rPr>
              <w:t>249,11461</w:t>
            </w:r>
            <w:r w:rsidRPr="00B61F01">
              <w:rPr>
                <w:rFonts w:ascii="Arial" w:hAnsi="Arial" w:cs="Arial"/>
                <w:b/>
              </w:rPr>
              <w:t xml:space="preserve"> </w:t>
            </w:r>
            <w:r w:rsidR="00A62315" w:rsidRPr="00B61F01">
              <w:rPr>
                <w:rFonts w:ascii="Arial" w:hAnsi="Arial" w:cs="Arial"/>
                <w:b/>
              </w:rPr>
              <w:t>тыс.</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2021 год – </w:t>
            </w:r>
            <w:r w:rsidR="00724848" w:rsidRPr="00B61F01">
              <w:rPr>
                <w:rFonts w:ascii="Arial" w:hAnsi="Arial" w:cs="Arial"/>
                <w:b/>
              </w:rPr>
              <w:t>248,58761</w:t>
            </w:r>
            <w:r w:rsidRPr="00B61F01">
              <w:rPr>
                <w:rFonts w:ascii="Arial" w:hAnsi="Arial" w:cs="Arial"/>
                <w:b/>
              </w:rPr>
              <w:t xml:space="preserve"> тыс.рублей;</w:t>
            </w:r>
          </w:p>
          <w:p w:rsidR="00A62315" w:rsidRPr="00B61F01" w:rsidRDefault="00A62315" w:rsidP="003B37F7">
            <w:pPr>
              <w:rPr>
                <w:rFonts w:ascii="Arial" w:hAnsi="Arial" w:cs="Arial"/>
                <w:b/>
              </w:rPr>
            </w:pPr>
            <w:r w:rsidRPr="00B61F01">
              <w:rPr>
                <w:rFonts w:ascii="Arial" w:hAnsi="Arial" w:cs="Arial"/>
                <w:b/>
              </w:rPr>
              <w:t xml:space="preserve">2022 год – </w:t>
            </w:r>
            <w:r w:rsidR="00724848" w:rsidRPr="00B61F01">
              <w:rPr>
                <w:rFonts w:ascii="Arial" w:hAnsi="Arial" w:cs="Arial"/>
                <w:b/>
              </w:rPr>
              <w:t>260,89961</w:t>
            </w:r>
            <w:r w:rsidRPr="00B61F01">
              <w:rPr>
                <w:rFonts w:ascii="Arial" w:hAnsi="Arial" w:cs="Arial"/>
                <w:b/>
              </w:rPr>
              <w:t xml:space="preserve"> тыс.рублей;</w:t>
            </w:r>
          </w:p>
          <w:p w:rsidR="00A62315" w:rsidRPr="00B61F01" w:rsidRDefault="00A62315" w:rsidP="003B37F7">
            <w:pPr>
              <w:rPr>
                <w:rFonts w:ascii="Arial" w:hAnsi="Arial" w:cs="Arial"/>
                <w:b/>
              </w:rPr>
            </w:pPr>
            <w:r w:rsidRPr="00B61F01">
              <w:rPr>
                <w:rFonts w:ascii="Arial" w:hAnsi="Arial" w:cs="Arial"/>
                <w:b/>
              </w:rPr>
              <w:t xml:space="preserve">2023 год – </w:t>
            </w:r>
            <w:r w:rsidR="00B61F01" w:rsidRPr="00B61F01">
              <w:rPr>
                <w:rFonts w:ascii="Arial" w:hAnsi="Arial" w:cs="Arial"/>
                <w:b/>
              </w:rPr>
              <w:t>45</w:t>
            </w:r>
            <w:r w:rsidRPr="00B61F01">
              <w:rPr>
                <w:rFonts w:ascii="Arial" w:hAnsi="Arial" w:cs="Arial"/>
                <w:b/>
              </w:rPr>
              <w:t>,0 тыс.рублей;</w:t>
            </w:r>
          </w:p>
          <w:p w:rsidR="00A62315" w:rsidRPr="00B61F01" w:rsidRDefault="00A62315" w:rsidP="003B37F7">
            <w:pPr>
              <w:rPr>
                <w:rFonts w:ascii="Arial" w:hAnsi="Arial" w:cs="Arial"/>
                <w:b/>
              </w:rPr>
            </w:pPr>
            <w:r w:rsidRPr="00B61F01">
              <w:rPr>
                <w:rFonts w:ascii="Arial" w:hAnsi="Arial" w:cs="Arial"/>
                <w:b/>
              </w:rPr>
              <w:lastRenderedPageBreak/>
              <w:t xml:space="preserve">2024 год – </w:t>
            </w:r>
            <w:r w:rsidR="00B61F01" w:rsidRPr="00B61F01">
              <w:rPr>
                <w:rFonts w:ascii="Arial" w:hAnsi="Arial" w:cs="Arial"/>
                <w:b/>
              </w:rPr>
              <w:t>45</w:t>
            </w:r>
            <w:r w:rsidRPr="00B61F01">
              <w:rPr>
                <w:rFonts w:ascii="Arial" w:hAnsi="Arial" w:cs="Arial"/>
                <w:b/>
              </w:rPr>
              <w:t>,0 тыс.рублей;</w:t>
            </w:r>
          </w:p>
          <w:p w:rsidR="00A62315" w:rsidRPr="00B61F01" w:rsidRDefault="00A62315" w:rsidP="003B37F7">
            <w:pPr>
              <w:rPr>
                <w:rFonts w:ascii="Arial" w:hAnsi="Arial" w:cs="Arial"/>
                <w:b/>
              </w:rPr>
            </w:pPr>
            <w:r w:rsidRPr="00B61F01">
              <w:rPr>
                <w:rFonts w:ascii="Arial" w:hAnsi="Arial" w:cs="Arial"/>
                <w:b/>
              </w:rPr>
              <w:t xml:space="preserve">2025 год – </w:t>
            </w:r>
            <w:r w:rsidR="00B61F01" w:rsidRPr="00B61F01">
              <w:rPr>
                <w:rFonts w:ascii="Arial" w:hAnsi="Arial" w:cs="Arial"/>
                <w:b/>
              </w:rPr>
              <w:t>45</w:t>
            </w:r>
            <w:r w:rsidRPr="00B61F01">
              <w:rPr>
                <w:rFonts w:ascii="Arial" w:hAnsi="Arial" w:cs="Arial"/>
                <w:b/>
              </w:rPr>
              <w:t>,0 тыс.рублей;</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ой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B61F01" w:rsidRPr="00B61F01" w:rsidRDefault="00236288" w:rsidP="00B61F01">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B61F01" w:rsidRPr="00B61F01">
        <w:rPr>
          <w:rFonts w:ascii="Arial" w:hAnsi="Arial" w:cs="Arial"/>
          <w:b/>
        </w:rPr>
        <w:t>915,30183 тыс. рублей, в т.ч. по годам:</w:t>
      </w:r>
    </w:p>
    <w:p w:rsidR="00B61F01" w:rsidRPr="00B61F01" w:rsidRDefault="00B61F01" w:rsidP="00B61F01">
      <w:pPr>
        <w:jc w:val="both"/>
        <w:rPr>
          <w:rFonts w:ascii="Arial" w:hAnsi="Arial" w:cs="Arial"/>
          <w:b/>
        </w:rPr>
      </w:pPr>
      <w:r w:rsidRPr="00B61F01">
        <w:rPr>
          <w:rFonts w:ascii="Arial" w:hAnsi="Arial" w:cs="Arial"/>
          <w:b/>
        </w:rPr>
        <w:t>2019 год – 21,7 тыс. рублей;</w:t>
      </w:r>
    </w:p>
    <w:p w:rsidR="00B61F01" w:rsidRPr="00B61F01" w:rsidRDefault="00B61F01" w:rsidP="00B61F01">
      <w:pPr>
        <w:jc w:val="both"/>
        <w:rPr>
          <w:rFonts w:ascii="Arial" w:hAnsi="Arial" w:cs="Arial"/>
          <w:b/>
        </w:rPr>
      </w:pPr>
      <w:r w:rsidRPr="00B61F01">
        <w:rPr>
          <w:rFonts w:ascii="Arial" w:hAnsi="Arial" w:cs="Arial"/>
          <w:b/>
        </w:rPr>
        <w:t>2020 год – 249,11461 тыс.рублей;</w:t>
      </w:r>
    </w:p>
    <w:p w:rsidR="00B61F01" w:rsidRPr="00B61F01" w:rsidRDefault="00B61F01" w:rsidP="00B61F01">
      <w:pPr>
        <w:jc w:val="both"/>
        <w:rPr>
          <w:rFonts w:ascii="Arial" w:hAnsi="Arial" w:cs="Arial"/>
          <w:b/>
        </w:rPr>
      </w:pPr>
      <w:r w:rsidRPr="00B61F01">
        <w:rPr>
          <w:rFonts w:ascii="Arial" w:hAnsi="Arial" w:cs="Arial"/>
          <w:b/>
        </w:rPr>
        <w:t>2021 год – 248,58761 тыс.рублей;</w:t>
      </w:r>
    </w:p>
    <w:p w:rsidR="00B61F01" w:rsidRPr="00B61F01" w:rsidRDefault="00B61F01" w:rsidP="00B61F01">
      <w:pPr>
        <w:jc w:val="both"/>
        <w:rPr>
          <w:rFonts w:ascii="Arial" w:hAnsi="Arial" w:cs="Arial"/>
          <w:b/>
        </w:rPr>
      </w:pPr>
      <w:r w:rsidRPr="00B61F01">
        <w:rPr>
          <w:rFonts w:ascii="Arial" w:hAnsi="Arial" w:cs="Arial"/>
          <w:b/>
        </w:rPr>
        <w:t>2022 год – 260,89961 тыс.рублей;</w:t>
      </w:r>
    </w:p>
    <w:p w:rsidR="00B61F01" w:rsidRPr="00B61F01" w:rsidRDefault="00B61F01" w:rsidP="00B61F01">
      <w:pPr>
        <w:jc w:val="both"/>
        <w:rPr>
          <w:rFonts w:ascii="Arial" w:hAnsi="Arial" w:cs="Arial"/>
          <w:b/>
        </w:rPr>
      </w:pPr>
      <w:r w:rsidRPr="00B61F01">
        <w:rPr>
          <w:rFonts w:ascii="Arial" w:hAnsi="Arial" w:cs="Arial"/>
          <w:b/>
        </w:rPr>
        <w:t>2023 год – 45,0 тыс.рублей;</w:t>
      </w:r>
    </w:p>
    <w:p w:rsidR="00B61F01" w:rsidRPr="00B61F01" w:rsidRDefault="00B61F01" w:rsidP="00B61F01">
      <w:pPr>
        <w:jc w:val="both"/>
        <w:rPr>
          <w:rFonts w:ascii="Arial" w:hAnsi="Arial" w:cs="Arial"/>
          <w:b/>
        </w:rPr>
      </w:pPr>
      <w:r w:rsidRPr="00B61F01">
        <w:rPr>
          <w:rFonts w:ascii="Arial" w:hAnsi="Arial" w:cs="Arial"/>
          <w:b/>
        </w:rPr>
        <w:t>2024 год – 45,0 тыс.рублей;</w:t>
      </w:r>
    </w:p>
    <w:p w:rsidR="00B61F01" w:rsidRPr="00B61F01" w:rsidRDefault="00B61F01" w:rsidP="00B61F01">
      <w:pPr>
        <w:jc w:val="both"/>
        <w:rPr>
          <w:rFonts w:ascii="Arial" w:hAnsi="Arial" w:cs="Arial"/>
          <w:b/>
        </w:rPr>
      </w:pPr>
      <w:r w:rsidRPr="00B61F01">
        <w:rPr>
          <w:rFonts w:ascii="Arial" w:hAnsi="Arial" w:cs="Arial"/>
          <w:b/>
        </w:rPr>
        <w:t>2025 год – 45,0 тыс.рублей;</w:t>
      </w:r>
    </w:p>
    <w:p w:rsidR="00236288" w:rsidRPr="003B37F7" w:rsidRDefault="00236288" w:rsidP="00B61F01">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N п/п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 xml:space="preserve">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(индикаторов)объектов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5" w:name="P642"/>
      <w:bookmarkEnd w:id="5"/>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N п/п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Администрация Дичнянского сельсовета сельсовета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увеличение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обустройство 1 детской игровой площадки в с.Дичня</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снижение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обустройство 1 детской игровой площадки в с.Дичня</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Администрация Дичнянского сельсовета сельсовета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снижение численности, систематически занимающихся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w:t>
      </w:r>
      <w:r w:rsidR="00181BFE">
        <w:rPr>
          <w:rFonts w:ascii="Arial" w:hAnsi="Arial" w:cs="Arial"/>
          <w:sz w:val="24"/>
          <w:lang w:eastAsia="ru-RU"/>
        </w:rPr>
        <w:t>тыс.</w:t>
      </w:r>
      <w:r w:rsidRPr="005C05A8">
        <w:rPr>
          <w:rFonts w:ascii="Arial" w:hAnsi="Arial" w:cs="Arial"/>
          <w:sz w:val="24"/>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Расходы  годы</w:t>
            </w:r>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Рз Пр</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851"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5C05A8"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851" w:type="dxa"/>
          </w:tcPr>
          <w:p w:rsidR="008F7A36"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74"/>
        <w:gridCol w:w="1134"/>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7"/>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B61F01" w:rsidRPr="00C953A7" w:rsidTr="00C953A7">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C953A7">
        <w:tc>
          <w:tcPr>
            <w:tcW w:w="1560" w:type="dxa"/>
            <w:vMerge/>
          </w:tcPr>
          <w:p w:rsidR="00B61F01" w:rsidRPr="00C953A7" w:rsidRDefault="00B61F01" w:rsidP="00B61F01">
            <w:pPr>
              <w:suppressAutoHyphens w:val="0"/>
              <w:rPr>
                <w:rFonts w:ascii="Arial" w:hAnsi="Arial" w:cs="Arial"/>
                <w:lang w:eastAsia="ru-RU"/>
              </w:rPr>
            </w:pPr>
          </w:p>
        </w:tc>
        <w:tc>
          <w:tcPr>
            <w:tcW w:w="1701" w:type="dxa"/>
            <w:vMerge/>
          </w:tcPr>
          <w:p w:rsidR="00B61F01" w:rsidRPr="00C953A7" w:rsidRDefault="00B61F01" w:rsidP="00B61F01">
            <w:pPr>
              <w:suppressAutoHyphens w:val="0"/>
              <w:rPr>
                <w:rFonts w:ascii="Arial" w:hAnsi="Arial" w:cs="Arial"/>
                <w:lang w:eastAsia="ru-RU"/>
              </w:rPr>
            </w:pP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B61F01">
        <w:trPr>
          <w:trHeight w:val="460"/>
        </w:trPr>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75"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95738B" w:rsidRPr="00C953A7" w:rsidTr="00B61F01">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75"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B61F01">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B61F01" w:rsidRPr="00C953A7" w:rsidTr="00B61F01">
        <w:trPr>
          <w:trHeight w:val="460"/>
        </w:trPr>
        <w:tc>
          <w:tcPr>
            <w:tcW w:w="1560" w:type="dxa"/>
            <w:vMerge/>
          </w:tcPr>
          <w:p w:rsidR="00B61F01" w:rsidRPr="00911E0B" w:rsidRDefault="00B61F01" w:rsidP="00B61F01">
            <w:pPr>
              <w:widowControl w:val="0"/>
              <w:suppressAutoHyphens w:val="0"/>
              <w:autoSpaceDE w:val="0"/>
              <w:autoSpaceDN w:val="0"/>
              <w:rPr>
                <w:rFonts w:ascii="Arial" w:hAnsi="Arial" w:cs="Arial"/>
                <w:lang w:eastAsia="ru-RU"/>
              </w:rPr>
            </w:pPr>
          </w:p>
        </w:tc>
        <w:tc>
          <w:tcPr>
            <w:tcW w:w="1701" w:type="dxa"/>
            <w:vMerge/>
          </w:tcPr>
          <w:p w:rsidR="00B61F01" w:rsidRPr="00911E0B" w:rsidRDefault="00B61F01" w:rsidP="00B61F01">
            <w:pPr>
              <w:widowControl w:val="0"/>
              <w:suppressAutoHyphens w:val="0"/>
              <w:autoSpaceDE w:val="0"/>
              <w:autoSpaceDN w:val="0"/>
              <w:rPr>
                <w:rFonts w:ascii="Arial" w:hAnsi="Arial" w:cs="Arial"/>
                <w:b/>
                <w:lang w:eastAsia="ru-RU"/>
              </w:rPr>
            </w:pP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75"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C953A7" w:rsidRPr="00C953A7" w:rsidTr="00B61F01">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B61F01">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5"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6"/>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EE" w:rsidRDefault="00D712EE" w:rsidP="00F24757">
      <w:r>
        <w:separator/>
      </w:r>
    </w:p>
  </w:endnote>
  <w:endnote w:type="continuationSeparator" w:id="0">
    <w:p w:rsidR="00D712EE" w:rsidRDefault="00D712EE"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48" w:rsidRDefault="00724848">
    <w:pPr>
      <w:pStyle w:val="a5"/>
      <w:jc w:val="right"/>
    </w:pPr>
    <w:r>
      <w:fldChar w:fldCharType="begin"/>
    </w:r>
    <w:r>
      <w:instrText>PAGE   \* MERGEFORMAT</w:instrText>
    </w:r>
    <w:r>
      <w:fldChar w:fldCharType="separate"/>
    </w:r>
    <w:r w:rsidR="00675556">
      <w:rPr>
        <w:noProof/>
      </w:rPr>
      <w:t>22</w:t>
    </w:r>
    <w:r>
      <w:rPr>
        <w:noProof/>
      </w:rPr>
      <w:fldChar w:fldCharType="end"/>
    </w:r>
  </w:p>
  <w:p w:rsidR="00724848" w:rsidRPr="00BA323A" w:rsidRDefault="00724848">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EE" w:rsidRDefault="00D712EE" w:rsidP="00F24757">
      <w:r>
        <w:separator/>
      </w:r>
    </w:p>
  </w:footnote>
  <w:footnote w:type="continuationSeparator" w:id="0">
    <w:p w:rsidR="00D712EE" w:rsidRDefault="00D712EE"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5A17"/>
    <w:rsid w:val="00137ED0"/>
    <w:rsid w:val="00180303"/>
    <w:rsid w:val="00181BFE"/>
    <w:rsid w:val="001B315D"/>
    <w:rsid w:val="001D581C"/>
    <w:rsid w:val="001E64AB"/>
    <w:rsid w:val="001F1C79"/>
    <w:rsid w:val="00214C0B"/>
    <w:rsid w:val="002273C3"/>
    <w:rsid w:val="00236288"/>
    <w:rsid w:val="00273D66"/>
    <w:rsid w:val="00287C36"/>
    <w:rsid w:val="002A7135"/>
    <w:rsid w:val="002C2FA8"/>
    <w:rsid w:val="002F2AE2"/>
    <w:rsid w:val="00326BD0"/>
    <w:rsid w:val="00347D6D"/>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5B1E"/>
    <w:rsid w:val="00BD0658"/>
    <w:rsid w:val="00BF3CBA"/>
    <w:rsid w:val="00C11724"/>
    <w:rsid w:val="00C2759A"/>
    <w:rsid w:val="00C3192B"/>
    <w:rsid w:val="00C5310A"/>
    <w:rsid w:val="00C953A7"/>
    <w:rsid w:val="00CA4885"/>
    <w:rsid w:val="00CB6B45"/>
    <w:rsid w:val="00CD3584"/>
    <w:rsid w:val="00CF0CD2"/>
    <w:rsid w:val="00CF3169"/>
    <w:rsid w:val="00D30FDC"/>
    <w:rsid w:val="00D712EE"/>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60142"/>
    <w:rsid w:val="00FF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31313-8AA7-412B-94E7-52AAA7F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5F37-25EF-47A6-A09E-9DC8FDE8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8486</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d7</cp:lastModifiedBy>
  <cp:revision>38</cp:revision>
  <cp:lastPrinted>2018-11-15T08:32:00Z</cp:lastPrinted>
  <dcterms:created xsi:type="dcterms:W3CDTF">2017-11-15T12:41:00Z</dcterms:created>
  <dcterms:modified xsi:type="dcterms:W3CDTF">2020-03-13T07:39:00Z</dcterms:modified>
</cp:coreProperties>
</file>