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FF" w:rsidRDefault="00A118FF" w:rsidP="00A118FF">
      <w:pPr>
        <w:ind w:left="360"/>
        <w:rPr>
          <w:rFonts w:ascii="Times New Roman" w:hAnsi="Times New Roman" w:cs="Tahoma"/>
          <w:b/>
          <w:sz w:val="28"/>
        </w:rPr>
      </w:pPr>
      <w:r>
        <w:rPr>
          <w:rFonts w:ascii="Times New Roman" w:hAnsi="Times New Roman" w:cs="Tahoma"/>
          <w:b/>
          <w:sz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ahoma"/>
          <w:b/>
          <w:sz w:val="28"/>
        </w:rPr>
        <w:t>СОБРАНИЕ ДЕПУТАТОВ</w:t>
      </w:r>
    </w:p>
    <w:p w:rsidR="00A118FF" w:rsidRDefault="00A118FF" w:rsidP="00A118FF">
      <w:pPr>
        <w:ind w:left="360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ДИЧНЯНСКОГО СЕЛЬСОВЕТА </w:t>
      </w:r>
    </w:p>
    <w:p w:rsidR="00A118FF" w:rsidRDefault="00A118FF" w:rsidP="00A118FF">
      <w:pPr>
        <w:ind w:left="360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КУРЧА</w:t>
      </w:r>
      <w:bookmarkStart w:id="1" w:name="DDE_LINK"/>
      <w:r>
        <w:rPr>
          <w:rFonts w:ascii="Times New Roman" w:hAnsi="Times New Roman" w:cs="Tahoma"/>
          <w:b/>
          <w:bCs/>
          <w:sz w:val="28"/>
          <w:szCs w:val="28"/>
        </w:rPr>
        <w:t xml:space="preserve">ТОВСКОГО РАЙОНА  </w:t>
      </w:r>
      <w:bookmarkEnd w:id="1"/>
      <w:r>
        <w:rPr>
          <w:rFonts w:ascii="Times New Roman" w:hAnsi="Times New Roman" w:cs="Tahoma"/>
          <w:b/>
          <w:bCs/>
          <w:sz w:val="28"/>
          <w:szCs w:val="28"/>
        </w:rPr>
        <w:t>КУРСКОЙ ОБЛАСТИ</w:t>
      </w:r>
    </w:p>
    <w:p w:rsidR="00A118FF" w:rsidRDefault="00A118FF" w:rsidP="00A118FF">
      <w:pPr>
        <w:ind w:left="360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   </w:t>
      </w:r>
    </w:p>
    <w:p w:rsidR="00A118FF" w:rsidRDefault="00A118FF" w:rsidP="00A118FF">
      <w:pPr>
        <w:ind w:left="360"/>
        <w:rPr>
          <w:rFonts w:ascii="Times New Roman" w:hAnsi="Times New Roman" w:cs="Tahoma"/>
          <w:b/>
          <w:sz w:val="32"/>
        </w:rPr>
      </w:pPr>
      <w:r>
        <w:rPr>
          <w:rFonts w:ascii="Times New Roman" w:hAnsi="Times New Roman" w:cs="Tahoma"/>
        </w:rPr>
        <w:t xml:space="preserve">                                        </w:t>
      </w:r>
      <w:r>
        <w:rPr>
          <w:rFonts w:ascii="Times New Roman" w:hAnsi="Times New Roman" w:cs="Tahoma"/>
          <w:b/>
          <w:sz w:val="32"/>
        </w:rPr>
        <w:t>РЕШЕНИЕ</w:t>
      </w:r>
    </w:p>
    <w:p w:rsidR="00A118FF" w:rsidRDefault="00A118FF" w:rsidP="00A118FF">
      <w:pPr>
        <w:ind w:left="360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3 октября 2014 года                                                 № 143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толковании строк 1 и 2 «Основные виды разрешенного использования»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ч.5.1. статьи 32 Правил землепользования и застройки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Курчатовского района Курской области, </w:t>
      </w:r>
      <w:proofErr w:type="gramStart"/>
      <w:r>
        <w:rPr>
          <w:rFonts w:ascii="Times New Roman" w:hAnsi="Times New Roman"/>
          <w:bCs/>
          <w:sz w:val="24"/>
          <w:szCs w:val="24"/>
        </w:rPr>
        <w:t>утвержденных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Решением Собрания депутатов Дичнянского сельсовета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Курчатовского района Курской области от 30.04.2012г. №17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Курчатовского района Курской области, Собрание депутатов Дичнянского сельсовета Курчатовского района Курской области решило: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толкование </w:t>
      </w:r>
      <w:r>
        <w:rPr>
          <w:rFonts w:ascii="Times New Roman" w:hAnsi="Times New Roman"/>
          <w:bCs/>
          <w:sz w:val="24"/>
          <w:szCs w:val="24"/>
        </w:rPr>
        <w:t>строк 1 и 2 «Основные виды разрешенного использования» ч.5.1. статьи 32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 согласно приложению.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Дичнянского сельсовета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В.Н.Тарасов</w:t>
      </w:r>
      <w:proofErr w:type="spellEnd"/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Собранию Депутатов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Дичнянского сельсовета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Курчатовского района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 октября 2014 года №  143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Толкование </w:t>
      </w:r>
      <w:r>
        <w:rPr>
          <w:rFonts w:ascii="Times New Roman" w:hAnsi="Times New Roman"/>
          <w:bCs/>
          <w:sz w:val="24"/>
          <w:szCs w:val="24"/>
        </w:rPr>
        <w:t xml:space="preserve">строк 1 и 2 «Основные виды разрешенного использования» 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ч.5.1. статьи 32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Строкой 1 и 2 «Основные виды разрешенного использования» ч.5.1. статьи 32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 </w:t>
      </w:r>
      <w:r>
        <w:rPr>
          <w:rFonts w:ascii="Times New Roman" w:hAnsi="Times New Roman"/>
          <w:sz w:val="24"/>
          <w:szCs w:val="24"/>
        </w:rPr>
        <w:t>основными видами разрешенного использования земельных участков и объектов капитального строительства в территориальной зоне Ж-1 установлены вид «Отдельно стоящие жилые дома на одну</w:t>
      </w:r>
      <w:proofErr w:type="gramEnd"/>
      <w:r>
        <w:rPr>
          <w:rFonts w:ascii="Times New Roman" w:hAnsi="Times New Roman"/>
          <w:sz w:val="24"/>
          <w:szCs w:val="24"/>
        </w:rPr>
        <w:t xml:space="preserve"> семью 1-3 этажа с участком» и вид «блокированные жилые дома на одну семью 1-3 этажа с участком.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общим правилом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Сами градостроительные регламенты устанавливаются правилами землепользования и застройки.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согласно толкуемой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норме</w:t>
        </w:r>
      </w:hyperlink>
      <w:r>
        <w:rPr>
          <w:rFonts w:ascii="Times New Roman" w:hAnsi="Times New Roman"/>
          <w:sz w:val="24"/>
          <w:szCs w:val="24"/>
        </w:rPr>
        <w:t xml:space="preserve"> вид разрешенного использования в любом случае определяется как жилищное строительство с земельным участком и дифференцируется по виду объекта, существующего (эксплуатация, обслуживание) или планируемого к размещению или строительству.</w:t>
      </w:r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указанный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</w:t>
        </w:r>
      </w:hyperlink>
      <w:r>
        <w:rPr>
          <w:rFonts w:ascii="Times New Roman" w:hAnsi="Times New Roman"/>
          <w:sz w:val="24"/>
          <w:szCs w:val="24"/>
        </w:rPr>
        <w:t xml:space="preserve"> не обязывает правообладателя земельного участка и объекта капитального строительства определять весь перечень возможных объектов жилого назначения как разрешенный вид использования земельного участка, а позволяет ему самостоятельно определить именно тот вид использования земельного участка, который соответствует существующему или планируемому к размещению на таком земельном участке объекту капитального строительства, или определить один из возможных видов объектов капитального строительства.</w:t>
      </w:r>
      <w:proofErr w:type="gramEnd"/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при определении вида разрешенного использования земельного участка или объекта капитального строительства заинтересованное лицо вправе выбрать как размещение, эксплуатацию, обслуживание или строительство индивидуального жилого дома (жилых домов); жилого дома (жилых домов) с правом регистрации проживания в нем; </w:t>
      </w:r>
      <w:proofErr w:type="gramStart"/>
      <w:r>
        <w:rPr>
          <w:rFonts w:ascii="Times New Roman" w:hAnsi="Times New Roman"/>
          <w:sz w:val="24"/>
          <w:szCs w:val="24"/>
        </w:rPr>
        <w:t xml:space="preserve">жилого дома (жилых домов) и рекреационных целей (т.е. жилого дома (жилых домов) и земельного участка предназначенных для отдыха, занятия спортом, </w:t>
      </w:r>
      <w:r>
        <w:rPr>
          <w:rFonts w:ascii="Times New Roman" w:hAnsi="Times New Roman"/>
          <w:sz w:val="24"/>
          <w:szCs w:val="24"/>
        </w:rPr>
        <w:lastRenderedPageBreak/>
        <w:t>размещения лесных культур, создания прудов и т.п.), так и блокированного жилого дома (жилых домов).</w:t>
      </w:r>
      <w:proofErr w:type="gramEnd"/>
    </w:p>
    <w:p w:rsidR="00A118FF" w:rsidRDefault="00A118FF" w:rsidP="00A118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варианты размещения, эксплуатации обслуживания или строительства выбранного объекта определяются заинтересованным лицом в любом сочетании в зависимости от наличия или отсутствия объекта капитального строительства на земельном участке, вид разрешенного использования которого определяется.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соответствии с  п.1.1.1 Статьи 34 установлены градостроительные регламенты по видам и параметрам разрешенного использования земельных участков и объектов капитального строительства, в т. ч. в зоне Ж -1 – коэффициент застройки не более 30 %, коэффициент свободных территорий не мене   70 %.для реакционных целей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и земельного участка для отдыха, занятия спортом, размещения лесных культур, создания прудов и т.п.),                                                                                                                                                                                                                                                   Таким образом, градостроительный  регламент по видам и параметрам строительства разрешенного использования земельных участков и объектов капитального строительства не имеет ограничений для использования земельного участка  - для размещения и эксплуатации жилых домов и реакционных целей. </w:t>
      </w:r>
    </w:p>
    <w:p w:rsidR="00A118FF" w:rsidRDefault="00A118FF" w:rsidP="00A118FF">
      <w:pPr>
        <w:tabs>
          <w:tab w:val="left" w:pos="284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5393" w:rsidRDefault="00D15393"/>
    <w:sectPr w:rsidR="00D1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FF"/>
    <w:rsid w:val="00A118FF"/>
    <w:rsid w:val="00D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C273E995985386933CA7B144EFECC1578C596B0750BD364A9BB9396E9D6B0C4F50434F43C353F81B314FCoAJ" TargetMode="External"/><Relationship Id="rId5" Type="http://schemas.openxmlformats.org/officeDocument/2006/relationships/hyperlink" Target="consultantplus://offline/ref=B2EC273E995985386933CA7B144EFECC1578C596B0750BD364A9BB9396E9D6B0C4F50434F43C353F81B314FC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2014-10-17T09:48:00Z</dcterms:created>
  <dcterms:modified xsi:type="dcterms:W3CDTF">2014-10-17T09:48:00Z</dcterms:modified>
</cp:coreProperties>
</file>