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3E" w:rsidRDefault="0006703E" w:rsidP="0006703E">
      <w:pPr>
        <w:widowControl/>
        <w:autoSpaceDE/>
        <w:adjustRightInd/>
        <w:spacing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СОБРАНИЕ ДЕПУТАТОВ</w:t>
      </w:r>
      <w:r>
        <w:rPr>
          <w:rFonts w:ascii="Times New Roman" w:hAnsi="Times New Roman"/>
        </w:rPr>
        <w:br/>
        <w:t>ДИЧНЯНСКОГО СЕЛЬСОВЕТА</w:t>
      </w:r>
      <w:r>
        <w:rPr>
          <w:rFonts w:ascii="Times New Roman" w:hAnsi="Times New Roman"/>
        </w:rPr>
        <w:br/>
        <w:t xml:space="preserve">КУРЧАТОВСКОГО РАЙОНА </w:t>
      </w:r>
    </w:p>
    <w:p w:rsidR="0006703E" w:rsidRDefault="0006703E" w:rsidP="0006703E">
      <w:pPr>
        <w:widowControl/>
        <w:autoSpaceDE/>
        <w:adjustRightInd/>
        <w:spacing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</w:t>
      </w:r>
    </w:p>
    <w:p w:rsidR="0006703E" w:rsidRDefault="0006703E" w:rsidP="0006703E">
      <w:pPr>
        <w:widowControl/>
        <w:autoSpaceDE/>
        <w:adjustRightInd/>
        <w:spacing w:line="0" w:lineRule="atLeast"/>
        <w:jc w:val="center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</w:p>
    <w:p w:rsidR="0006703E" w:rsidRPr="00CA1D68" w:rsidRDefault="00CA1D68" w:rsidP="00CA1D68">
      <w:pPr>
        <w:widowControl/>
        <w:autoSpaceDE/>
        <w:adjustRightInd/>
        <w:spacing w:line="240" w:lineRule="atLeast"/>
        <w:rPr>
          <w:rFonts w:ascii="Times New Roman" w:hAnsi="Times New Roman"/>
          <w:u w:val="single"/>
        </w:rPr>
      </w:pPr>
      <w:r w:rsidRPr="00CA1D68">
        <w:rPr>
          <w:rFonts w:ascii="Times New Roman" w:hAnsi="Times New Roman"/>
          <w:u w:val="single"/>
        </w:rPr>
        <w:t xml:space="preserve">от 16 мая 2014 года </w:t>
      </w:r>
      <w:r w:rsidR="0006703E" w:rsidRPr="00CA1D68">
        <w:rPr>
          <w:rFonts w:ascii="Times New Roman" w:hAnsi="Times New Roman"/>
          <w:u w:val="single"/>
        </w:rPr>
        <w:t xml:space="preserve">№ </w:t>
      </w:r>
      <w:r w:rsidRPr="00CA1D68">
        <w:rPr>
          <w:rFonts w:ascii="Times New Roman" w:hAnsi="Times New Roman"/>
          <w:u w:val="single"/>
        </w:rPr>
        <w:t>111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Об утверждении Положения о порядке осуществления 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жилищного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использованием и сохранностью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жилищного фонда на территории 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Курской области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</w:p>
    <w:p w:rsidR="0006703E" w:rsidRDefault="0006703E" w:rsidP="00CA1D68">
      <w:pPr>
        <w:widowControl/>
        <w:autoSpaceDE/>
        <w:adjustRightInd/>
        <w:spacing w:line="240" w:lineRule="atLeast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 частью 2.1 ст. 20</w:t>
      </w:r>
      <w:r>
        <w:t xml:space="preserve"> </w:t>
      </w:r>
      <w:r>
        <w:rPr>
          <w:rFonts w:ascii="Times New Roman" w:hAnsi="Times New Roman"/>
        </w:rPr>
        <w:t xml:space="preserve">Жилищного кодекса Российской Федерации,  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района, Собрание  депутатов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proofErr w:type="gramEnd"/>
      <w:r>
        <w:rPr>
          <w:rFonts w:ascii="Times New Roman" w:hAnsi="Times New Roman"/>
        </w:rPr>
        <w:t xml:space="preserve"> сельсовета Курчатовского района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 1. Утвердить Положение о порядке осуществления муниципального жилищного контроля на территории  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Курской области согласно приложению к настоящему решению.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2 Настоящее решение вступает в силу со дня его официального опубликования в газете «Информационный вестник» Администрации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Курской области.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                                        </w:t>
      </w:r>
      <w:proofErr w:type="spellStart"/>
      <w:r>
        <w:rPr>
          <w:rFonts w:ascii="Times New Roman" w:hAnsi="Times New Roman"/>
        </w:rPr>
        <w:t>В.Н.Тарасов</w:t>
      </w:r>
      <w:proofErr w:type="spellEnd"/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A1D68">
        <w:rPr>
          <w:rFonts w:ascii="Times New Roman" w:hAnsi="Times New Roman"/>
        </w:rPr>
        <w:t>16.05.</w:t>
      </w:r>
      <w:r>
        <w:rPr>
          <w:rFonts w:ascii="Times New Roman" w:hAnsi="Times New Roman"/>
        </w:rPr>
        <w:t xml:space="preserve">2014 г. № </w:t>
      </w:r>
      <w:r w:rsidR="00CA1D68">
        <w:rPr>
          <w:rFonts w:ascii="Times New Roman" w:hAnsi="Times New Roman"/>
        </w:rPr>
        <w:t>111</w:t>
      </w:r>
      <w:bookmarkStart w:id="0" w:name="_GoBack"/>
      <w:bookmarkEnd w:id="0"/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ПОЛОЖЕНИЕ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порядке осуществления муниципального жилищного контроля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территории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1. Общие положения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1.1. </w:t>
      </w:r>
      <w:proofErr w:type="gramStart"/>
      <w:r>
        <w:rPr>
          <w:rFonts w:ascii="Times New Roman" w:hAnsi="Times New Roman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   Жилищным кодексом Российской Федерации,   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 и устанавливает порядок осуществления</w:t>
      </w:r>
      <w:proofErr w:type="gramEnd"/>
      <w:r>
        <w:rPr>
          <w:rFonts w:ascii="Times New Roman" w:hAnsi="Times New Roman"/>
        </w:rPr>
        <w:t xml:space="preserve"> муниципального жилищного контроля на территории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Курской области.   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1.2.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  Курской области,  а также муниципальными правовыми актами в области жилищных отношений.  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1.3. Муниципальный жилищный контроль на территории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  Курской области осуществляется Администрацией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и уполномоченными ею органами и должностными лицами.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Цель муниципального жилищного контроля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 </w:t>
      </w:r>
      <w:proofErr w:type="gramStart"/>
      <w:r>
        <w:rPr>
          <w:rFonts w:ascii="Times New Roman" w:hAnsi="Times New Roman"/>
        </w:rPr>
        <w:t>Целью муниципального жилищного контроля является контроль за выполнением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домах,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 - обязательные требования), посредством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</w:t>
      </w:r>
      <w:r>
        <w:rPr>
          <w:rFonts w:ascii="Times New Roman" w:hAnsi="Times New Roman"/>
        </w:rPr>
        <w:lastRenderedPageBreak/>
        <w:t>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Формы осуществления муниципального жилищного контроля</w:t>
      </w:r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3.1. Проведение муниципального жилищного контроля осуществляется в форме плановых и внеплановых проверок в порядке и с соблюдением процедур,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3.2. Плановые проверки проводятся на основании ежегодного плана проверок, утверждаемого Главой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района, не чаще чем один раз в три года.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3.3. В ежегодных планах проведения плановых проверок указываются следующие сведения: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2) цель и основание проведения каждой плановой проверки;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3) дата и сроки проведения каждой плановой проверки;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4) наименование органа муниципального контроля, осуществляющего плановую проверку.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2) окончания проведения последней плановой проверки юридического лица, индивидуального предпринимателя.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3.5.  </w:t>
      </w:r>
      <w:proofErr w:type="gramStart"/>
      <w:r>
        <w:rPr>
          <w:rFonts w:ascii="Times New Roman" w:hAnsi="Times New Roman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>
          <w:rPr>
            <w:rStyle w:val="a3"/>
            <w:rFonts w:ascii="Times New Roman" w:hAnsi="Times New Roman"/>
            <w:color w:val="auto"/>
            <w:u w:val="none"/>
          </w:rPr>
          <w:t>части 2 статьи 10</w:t>
        </w:r>
      </w:hyperlink>
      <w:r>
        <w:rPr>
          <w:rFonts w:ascii="Times New Roman" w:hAnsi="Times New Roman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</w:t>
      </w:r>
      <w:proofErr w:type="gramEnd"/>
      <w:r>
        <w:rPr>
          <w:rFonts w:ascii="Times New Roman" w:hAnsi="Times New Roman"/>
        </w:rPr>
        <w:t xml:space="preserve"> такого договора и его заключения, а также нарушения управляющей организацией обязательств, предусмотренных частью 2 статьи 162 Жилищного 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3.6. Проверки, предусмотренные пунктами 3.2., 3.4., 3.5. настоящего Положения, осуществляются на основании распоряжения Администрации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о проведении проверки.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3.7. По результатам проверки оформляется акт проверки соблюдения законодательства с соблюдением требований, установленных Федеральным законом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3.8. </w:t>
      </w:r>
      <w:proofErr w:type="gramStart"/>
      <w:r>
        <w:rPr>
          <w:rFonts w:ascii="Times New Roman" w:hAnsi="Times New Roman"/>
        </w:rPr>
        <w:t xml:space="preserve">В случае выявления административного правонарушения или нарушений требований жилищного </w:t>
      </w:r>
      <w:hyperlink r:id="rId6" w:history="1">
        <w:r>
          <w:rPr>
            <w:rStyle w:val="a3"/>
            <w:rFonts w:ascii="Times New Roman" w:hAnsi="Times New Roman"/>
            <w:color w:val="auto"/>
            <w:u w:val="none"/>
          </w:rPr>
          <w:t>законодательства</w:t>
        </w:r>
      </w:hyperlink>
      <w:r>
        <w:rPr>
          <w:rFonts w:ascii="Times New Roman" w:hAnsi="Times New Roman"/>
        </w:rPr>
        <w:t xml:space="preserve"> по вопросам, входящим в компетенцию Администрации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района, муниципальным жилищным инспектором в соответствии с законодательством выдается предписание об устранении выявленных нарушений, о прекращении нарушений обязательных требований, о проведении мероприятий по обеспечению соблюдения обязательных требований, о проведении других мероприятий, предусмотренных законодательством.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Предписание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этом, и оно направляется адресату по почте с уведомлением о вручении.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3.9.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3.10. </w:t>
      </w:r>
      <w:proofErr w:type="gramStart"/>
      <w:r>
        <w:rPr>
          <w:rFonts w:ascii="Times New Roman" w:hAnsi="Times New Roman"/>
        </w:rPr>
        <w:t xml:space="preserve">По окончании проверки муниципальный жилищный инспектор, проводивший проверку, в журнале учета проверок осуществляет запись о проведенной проверке, содержащую сведения о наименовании Администрации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должностного лица или должностных лиц</w:t>
      </w:r>
      <w:proofErr w:type="gramEnd"/>
      <w:r>
        <w:rPr>
          <w:rFonts w:ascii="Times New Roman" w:hAnsi="Times New Roman"/>
        </w:rPr>
        <w:t>, проводящих проверку, его или их подписи.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3.11. </w:t>
      </w:r>
      <w:proofErr w:type="gramStart"/>
      <w:r>
        <w:rPr>
          <w:rFonts w:ascii="Times New Roman" w:hAnsi="Times New Roman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а также гражданин при проведении проверки имеют право обжаловать действия (бездействие) должностных лиц Администрации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 Курчатовского района, повлекшие за собой нарушение прав юридического лица, индивидуального предпринимателя или гражданина при проведении проверки, в административном и (или) судебном порядке в соответствии с законодательством Российской Федерации.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Полномочия органов жилищного контроля,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должностных лиц, осуществляющих муниципальный жилищный контроль</w:t>
      </w:r>
    </w:p>
    <w:p w:rsidR="0006703E" w:rsidRDefault="0006703E" w:rsidP="0006703E">
      <w:pPr>
        <w:widowControl/>
        <w:autoSpaceDE/>
        <w:adjustRightInd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4.1. Должностные лица уполномоченного органа местного самоуправления, осуществляющие муниципальный жилищный контроль в пределах предоставленных полномочий имеют право: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Жилищным кодексом, правомерность утверждения условий этого договора и его заключения;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ascii="Times New Roman" w:hAnsi="Times New Roman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ascii="Times New Roman" w:hAnsi="Times New Roman"/>
        </w:rPr>
        <w:t xml:space="preserve"> жилья, внесенных в устав изменений обязательным требованиям;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4.2. Должностные лица уполномоченного органа местного самоуправления, осуществляющие муниципальный жилищный контроль при проведении мероприятий по контролю обязаны: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а) руководствоваться законами Российской Федерации, законами Курской области, Уставом </w:t>
      </w:r>
      <w:proofErr w:type="spellStart"/>
      <w:r>
        <w:rPr>
          <w:rFonts w:ascii="Times New Roman" w:hAnsi="Times New Roman"/>
        </w:rPr>
        <w:t>Дичнянского</w:t>
      </w:r>
      <w:proofErr w:type="spellEnd"/>
      <w:r>
        <w:rPr>
          <w:rFonts w:ascii="Times New Roman" w:hAnsi="Times New Roman"/>
        </w:rPr>
        <w:t xml:space="preserve"> сельсовета, настоящим Положением и иными муниципальными правовыми актами;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принимать меры по предотвращению и устранению последствий выявленных нарушений жилищного законодательства в установленном порядке;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г) проводить профилактическую работу по устранению причин и обстоятельств, способствующих совершению правонарушений в области жилищного законодательства.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4.3.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>: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несоблюдение требований законодательства при исполнении служебных обязанностей;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б) несоблюдение установленного порядка осуществления муниципального жилищного контроля;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непринятие мер по предотвращению и устранению последствий выявленных нарушений жилищного законодательства;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г) объективность и достоверность материалов проводимых проверок.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4.4.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 Курской области, осуществляющими региональный государственный жилищный надзор, в порядке, установленном законом Курской области.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4.5.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ответственность.</w:t>
      </w:r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4.6. </w:t>
      </w:r>
      <w:proofErr w:type="gramStart"/>
      <w:r>
        <w:rPr>
          <w:rFonts w:ascii="Times New Roman" w:hAnsi="Times New Roman"/>
        </w:rPr>
        <w:t>Должностные лица уполномоченного органа местного самоуправления, осуществляющие муниципальный жилищный контроль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  <w:proofErr w:type="gramEnd"/>
    </w:p>
    <w:p w:rsidR="0006703E" w:rsidRDefault="0006703E" w:rsidP="0006703E">
      <w:pPr>
        <w:widowControl/>
        <w:autoSpaceDE/>
        <w:adjustRightInd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4.7. </w:t>
      </w:r>
      <w:proofErr w:type="gramStart"/>
      <w:r>
        <w:rPr>
          <w:rFonts w:ascii="Times New Roman" w:hAnsi="Times New Roman"/>
        </w:rPr>
        <w:t>Органы муниципального жилищного контроля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</w:t>
      </w:r>
      <w:proofErr w:type="gramEnd"/>
      <w:r>
        <w:rPr>
          <w:rFonts w:ascii="Times New Roman" w:hAnsi="Times New Roman"/>
        </w:rPr>
        <w:t xml:space="preserve"> случаях </w:t>
      </w:r>
      <w:proofErr w:type="gramStart"/>
      <w:r>
        <w:rPr>
          <w:rFonts w:ascii="Times New Roman" w:hAnsi="Times New Roman"/>
        </w:rPr>
        <w:t>выявления нарушений порядка создания товарищества собственников</w:t>
      </w:r>
      <w:proofErr w:type="gramEnd"/>
      <w:r>
        <w:rPr>
          <w:rFonts w:ascii="Times New Roman" w:hAnsi="Times New Roman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06703E" w:rsidRDefault="0006703E" w:rsidP="0006703E">
      <w:pPr>
        <w:widowControl/>
        <w:autoSpaceDE/>
        <w:adjustRightInd/>
        <w:spacing w:line="240" w:lineRule="atLeast"/>
        <w:jc w:val="right"/>
        <w:rPr>
          <w:rFonts w:ascii="Times New Roman" w:hAnsi="Times New Roman"/>
        </w:rPr>
      </w:pPr>
    </w:p>
    <w:p w:rsidR="00B869FC" w:rsidRDefault="00B869FC"/>
    <w:sectPr w:rsidR="00B8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9D"/>
    <w:rsid w:val="0006703E"/>
    <w:rsid w:val="001C459D"/>
    <w:rsid w:val="00B869FC"/>
    <w:rsid w:val="00C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0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0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7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html:file://G:\&#1075;&#1086;&#1090;&#1086;&#1074;&#1099;&#1077;%20&#1088;&#1077;&#1075;&#1083;&#1072;&#1084;&#1077;&#1085;&#1090;&#1099;%20-%20&#1092;&#1091;&#1085;&#1082;&#1094;&#1080;&#1080;\&#1040;&#1076;&#1084;&#1080;&#1085;&#1080;&#1089;&#1090;&#1088;&#1072;&#1094;&#1080;&#1103;%20&#1043;&#1086;&#1088;&#1089;&#1082;&#1086;&#1075;&#1086;%20&#1089;&#1077;&#1083;&#1100;&#1089;&#1082;&#1086;&#1075;&#1086;%20&#1087;&#1086;&#1089;&#1077;&#1083;&#1077;&#1085;&#1080;&#1103;%20%20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&#1085;&#1072;%20&#1090;&#1077;&#1088;&#1088;&#1080;&#1090;&#1086;&#1088;&#1080;&#1080;%20&#1043;&#1086;&#1088;&#1089;&#1082;&#1086;&#1075;&#1086;%20&#1089;&#1077;&#1083;&#1100;&#1089;&#1082;&#1086;&#1075;&#1086;%20&#1087;&#1086;&#1089;&#1077;&#1083;&#1077;&#1085;&#1080;&#1103;.mht!consultantplus://offline/ref=A55A4B1208244411D01210B76DD8540376F4721B88C0C92ED19AFEF29DM9FEF" TargetMode="External"/><Relationship Id="rId5" Type="http://schemas.openxmlformats.org/officeDocument/2006/relationships/hyperlink" Target="mhtml:file://G:\&#1075;&#1086;&#1090;&#1086;&#1074;&#1099;&#1077;%20&#1088;&#1077;&#1075;&#1083;&#1072;&#1084;&#1077;&#1085;&#1090;&#1099;%20-%20&#1092;&#1091;&#1085;&#1082;&#1094;&#1080;&#1080;\&#1040;&#1076;&#1084;&#1080;&#1085;&#1080;&#1089;&#1090;&#1088;&#1072;&#1094;&#1080;&#1103;%20&#1043;&#1086;&#1088;&#1089;&#1082;&#1086;&#1075;&#1086;%20&#1089;&#1077;&#1083;&#1100;&#1089;&#1082;&#1086;&#1075;&#1086;%20&#1087;&#1086;&#1089;&#1077;&#1083;&#1077;&#1085;&#1080;&#1103;%20%20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&#1085;&#1072;%20&#1090;&#1077;&#1088;&#1088;&#1080;&#1090;&#1086;&#1088;&#1080;&#1080;%20&#1043;&#1086;&#1088;&#1089;&#1082;&#1086;&#1075;&#1086;%20&#1089;&#1077;&#1083;&#1100;&#1089;&#1082;&#1086;&#1075;&#1086;%20&#1087;&#1086;&#1089;&#1077;&#1083;&#1077;&#1085;&#1080;&#1103;.mht!consultantplus://offline/ref=AE53D28CB7700FA89962EE50340E453F3BAB8A3AD1919E3DFC6C9417CE6CB617CD2D8473FAA1E32F21n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2014-07-21T12:06:00Z</cp:lastPrinted>
  <dcterms:created xsi:type="dcterms:W3CDTF">2014-06-16T07:05:00Z</dcterms:created>
  <dcterms:modified xsi:type="dcterms:W3CDTF">2014-07-21T12:11:00Z</dcterms:modified>
</cp:coreProperties>
</file>