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ДИЧНЯНСКОГО СЕЛЬСОВЕТА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КУРЧАТОВСКОГО РАЙОНА </w:t>
      </w:r>
    </w:p>
    <w:p w:rsidR="001F3E99" w:rsidRPr="009148E0" w:rsidRDefault="001F3E99" w:rsidP="001F3E9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КУРСКОЙ ОБЛАСТИ</w:t>
      </w:r>
    </w:p>
    <w:p w:rsidR="001F3E99" w:rsidRPr="009148E0" w:rsidRDefault="001F3E99" w:rsidP="001F3E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5C4976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От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C17F9">
        <w:rPr>
          <w:rFonts w:ascii="Times New Roman" w:hAnsi="Times New Roman" w:cs="Times New Roman"/>
          <w:b/>
          <w:bCs/>
          <w:sz w:val="16"/>
          <w:szCs w:val="16"/>
        </w:rPr>
        <w:t xml:space="preserve">01 февраля 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5C4976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года   №</w:t>
      </w:r>
      <w:r w:rsidR="003C17F9">
        <w:rPr>
          <w:rFonts w:ascii="Times New Roman" w:hAnsi="Times New Roman" w:cs="Times New Roman"/>
          <w:b/>
          <w:bCs/>
          <w:sz w:val="16"/>
          <w:szCs w:val="16"/>
        </w:rPr>
        <w:t>11</w:t>
      </w:r>
    </w:p>
    <w:p w:rsidR="005C4976" w:rsidRDefault="005C4976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«О внесении изменений в постановление №384 от 13.11.18г»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«Об утверждении муниципальной программы 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«Дичнянский сельсовет» Курчатовского района Курской области "Развитие культуры в 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муниципальном образовании </w:t>
      </w:r>
      <w:r w:rsidRPr="009148E0">
        <w:rPr>
          <w:rFonts w:ascii="Times New Roman" w:hAnsi="Times New Roman" w:cs="Times New Roman"/>
          <w:color w:val="000000"/>
          <w:spacing w:val="6"/>
          <w:sz w:val="16"/>
          <w:szCs w:val="16"/>
        </w:rPr>
        <w:t>«Дичнянский сельсовет» Курчатовского района Курской области на 2019-2025 годы"»</w:t>
      </w:r>
    </w:p>
    <w:p w:rsidR="001F3E99" w:rsidRPr="009148E0" w:rsidRDefault="001F3E99" w:rsidP="001F3E9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014C23" w:rsidRDefault="001F3E99" w:rsidP="005C4976">
      <w:pPr>
        <w:widowControl w:val="0"/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</w:pPr>
      <w:r w:rsidRPr="00014C23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</w:t>
      </w:r>
      <w:proofErr w:type="gramStart"/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 xml:space="preserve">  О</w:t>
      </w:r>
      <w:proofErr w:type="gramEnd"/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 xml:space="preserve">т 12 декабря 2014 </w:t>
      </w:r>
      <w:proofErr w:type="gramStart"/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 xml:space="preserve">г. №157  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решением Собрания депутатов </w:t>
      </w:r>
      <w:r w:rsidR="00014C23"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>№16 от 29.11.2021 года «О внесении изменений в Решение №160 от 11.12.2020г. «О бюджете МО «Дичнянский сельсовет на 2021 год и плановый период 2022-2023 годы», Решением Собрания депутатов от 08.11.2021г. №18</w:t>
      </w:r>
      <w:proofErr w:type="gramEnd"/>
      <w:r w:rsidR="00014C23"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 xml:space="preserve">  «О бюджете МО «Дичнянский сельсовет на 2022 год и плановый период 2023-2024»</w:t>
      </w:r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>,</w:t>
      </w:r>
    </w:p>
    <w:p w:rsidR="001F3E99" w:rsidRPr="00014C23" w:rsidRDefault="001F3E99" w:rsidP="001F3E99">
      <w:pPr>
        <w:widowControl w:val="0"/>
        <w:numPr>
          <w:ilvl w:val="2"/>
          <w:numId w:val="1"/>
        </w:numPr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</w:pPr>
    </w:p>
    <w:p w:rsidR="001F3E99" w:rsidRPr="00014C23" w:rsidRDefault="001F3E99" w:rsidP="001F3E99">
      <w:pPr>
        <w:widowControl w:val="0"/>
        <w:numPr>
          <w:ilvl w:val="2"/>
          <w:numId w:val="1"/>
        </w:numPr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</w:pPr>
      <w:r w:rsidRPr="00014C23">
        <w:rPr>
          <w:rFonts w:ascii="Times New Roman" w:eastAsia="Arial Unicode MS" w:hAnsi="Times New Roman" w:cs="Times New Roman"/>
          <w:bCs/>
          <w:color w:val="000000"/>
          <w:sz w:val="18"/>
          <w:szCs w:val="18"/>
        </w:rPr>
        <w:t xml:space="preserve"> Администрация Дичнянского сельсовета ПОСТАНОВЛЯЕТ:</w:t>
      </w:r>
    </w:p>
    <w:p w:rsidR="001F3E99" w:rsidRPr="00014C23" w:rsidRDefault="001F3E99" w:rsidP="001F3E99">
      <w:pPr>
        <w:widowControl w:val="0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014C23"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 w:rsidRPr="00014C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3E99" w:rsidRPr="00014C23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sz w:val="18"/>
          <w:szCs w:val="18"/>
        </w:rPr>
        <w:t xml:space="preserve">     1.Внести изменения в постановление №384 от 13.11.2018г. и утвердить муниципальную программу  </w:t>
      </w:r>
      <w:r w:rsidRPr="00014C23">
        <w:rPr>
          <w:rFonts w:ascii="Times New Roman" w:hAnsi="Times New Roman" w:cs="Times New Roman"/>
          <w:color w:val="000000"/>
          <w:spacing w:val="6"/>
          <w:sz w:val="18"/>
          <w:szCs w:val="18"/>
        </w:rPr>
        <w:t>"Развитие</w:t>
      </w:r>
    </w:p>
    <w:p w:rsidR="001F3E99" w:rsidRPr="00014C23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      культуры в </w:t>
      </w:r>
      <w:r w:rsidRPr="00014C23">
        <w:rPr>
          <w:rFonts w:ascii="Times New Roman" w:hAnsi="Times New Roman" w:cs="Times New Roman"/>
          <w:sz w:val="18"/>
          <w:szCs w:val="18"/>
        </w:rPr>
        <w:t xml:space="preserve">муниципальном образовании </w:t>
      </w:r>
      <w:r w:rsidRPr="00014C23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«Дичнянский сельсовет» Курчатовского района Курской области </w:t>
      </w:r>
      <w:proofErr w:type="gramStart"/>
      <w:r w:rsidRPr="00014C23">
        <w:rPr>
          <w:rFonts w:ascii="Times New Roman" w:hAnsi="Times New Roman" w:cs="Times New Roman"/>
          <w:color w:val="000000"/>
          <w:spacing w:val="6"/>
          <w:sz w:val="18"/>
          <w:szCs w:val="18"/>
        </w:rPr>
        <w:t>на</w:t>
      </w:r>
      <w:proofErr w:type="gramEnd"/>
    </w:p>
    <w:p w:rsidR="001F3E99" w:rsidRPr="00014C23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      2019-2025 годы"</w:t>
      </w:r>
      <w:r w:rsidRPr="00014C23">
        <w:rPr>
          <w:rFonts w:ascii="Times New Roman" w:hAnsi="Times New Roman" w:cs="Times New Roman"/>
          <w:sz w:val="18"/>
          <w:szCs w:val="18"/>
        </w:rPr>
        <w:t xml:space="preserve"> в новой редакции (приложение)</w:t>
      </w:r>
    </w:p>
    <w:p w:rsidR="001F3E99" w:rsidRPr="00014C23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1F3E99" w:rsidRPr="00014C23" w:rsidRDefault="001F3E99" w:rsidP="001F3E99">
      <w:pPr>
        <w:numPr>
          <w:ilvl w:val="2"/>
          <w:numId w:val="1"/>
        </w:numPr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sz w:val="18"/>
          <w:szCs w:val="18"/>
        </w:rPr>
        <w:t xml:space="preserve">       2.Начальнику отдел</w:t>
      </w:r>
      <w:proofErr w:type="gramStart"/>
      <w:r w:rsidRPr="00014C23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Pr="00014C23">
        <w:rPr>
          <w:rFonts w:ascii="Times New Roman" w:hAnsi="Times New Roman" w:cs="Times New Roman"/>
          <w:sz w:val="18"/>
          <w:szCs w:val="18"/>
        </w:rPr>
        <w:t xml:space="preserve"> главному бухгалтеру Администрации Дичнянского сельсовета Курчатовского района Курской</w:t>
      </w:r>
    </w:p>
    <w:p w:rsidR="001F3E99" w:rsidRPr="00014C23" w:rsidRDefault="001F3E99" w:rsidP="00014C23">
      <w:pPr>
        <w:numPr>
          <w:ilvl w:val="2"/>
          <w:numId w:val="1"/>
        </w:numPr>
        <w:outlineLvl w:val="2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sz w:val="18"/>
          <w:szCs w:val="18"/>
        </w:rPr>
        <w:t xml:space="preserve">          области (</w:t>
      </w:r>
      <w:proofErr w:type="spellStart"/>
      <w:r w:rsidRPr="00014C23">
        <w:rPr>
          <w:rFonts w:ascii="Times New Roman" w:hAnsi="Times New Roman" w:cs="Times New Roman"/>
          <w:sz w:val="18"/>
          <w:szCs w:val="18"/>
        </w:rPr>
        <w:t>В.А.Звягинцевой</w:t>
      </w:r>
      <w:proofErr w:type="spellEnd"/>
      <w:r w:rsidRPr="00014C23">
        <w:rPr>
          <w:rFonts w:ascii="Times New Roman" w:hAnsi="Times New Roman" w:cs="Times New Roman"/>
          <w:sz w:val="18"/>
          <w:szCs w:val="18"/>
        </w:rPr>
        <w:t>) обеспечить размещение настоящего пос</w:t>
      </w:r>
      <w:r w:rsidR="00014C23">
        <w:rPr>
          <w:rFonts w:ascii="Times New Roman" w:hAnsi="Times New Roman" w:cs="Times New Roman"/>
          <w:sz w:val="18"/>
          <w:szCs w:val="18"/>
        </w:rPr>
        <w:t xml:space="preserve">тановления на </w:t>
      </w:r>
      <w:proofErr w:type="gramStart"/>
      <w:r w:rsidR="00014C23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  <w:r w:rsidR="00014C2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14C23">
        <w:rPr>
          <w:rFonts w:ascii="Times New Roman" w:hAnsi="Times New Roman" w:cs="Times New Roman"/>
          <w:sz w:val="18"/>
          <w:szCs w:val="18"/>
        </w:rPr>
        <w:t>сайте</w:t>
      </w:r>
      <w:r w:rsidRPr="00014C23">
        <w:rPr>
          <w:rFonts w:ascii="Times New Roman" w:hAnsi="Times New Roman" w:cs="Times New Roman"/>
          <w:sz w:val="18"/>
          <w:szCs w:val="18"/>
        </w:rPr>
        <w:t>Дичнянского</w:t>
      </w:r>
      <w:proofErr w:type="spellEnd"/>
    </w:p>
    <w:p w:rsidR="001F3E99" w:rsidRPr="00014C23" w:rsidRDefault="00014C23" w:rsidP="00014C23">
      <w:pPr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1F3E99" w:rsidRPr="00014C23">
        <w:rPr>
          <w:rFonts w:ascii="Times New Roman" w:hAnsi="Times New Roman" w:cs="Times New Roman"/>
          <w:sz w:val="18"/>
          <w:szCs w:val="18"/>
        </w:rPr>
        <w:t>сельсовета Курчатовского района Курской области в сети «Интернет».</w:t>
      </w:r>
    </w:p>
    <w:p w:rsidR="001F3E99" w:rsidRPr="00014C23" w:rsidRDefault="001F3E99" w:rsidP="001F3E99">
      <w:pPr>
        <w:rPr>
          <w:rFonts w:ascii="Times New Roman" w:hAnsi="Times New Roman" w:cs="Times New Roman"/>
          <w:sz w:val="18"/>
          <w:szCs w:val="18"/>
        </w:rPr>
      </w:pPr>
    </w:p>
    <w:p w:rsidR="001F3E99" w:rsidRPr="00014C23" w:rsidRDefault="001F3E99" w:rsidP="00014C23">
      <w:pPr>
        <w:autoSpaceDE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4C23">
        <w:rPr>
          <w:rFonts w:ascii="Times New Roman" w:eastAsia="Calibri" w:hAnsi="Times New Roman" w:cs="Times New Roman"/>
          <w:sz w:val="18"/>
          <w:szCs w:val="18"/>
        </w:rPr>
        <w:t xml:space="preserve">       3. Настоящее постановление вступает в силу со дня официального опубликования</w:t>
      </w:r>
      <w:r w:rsidR="00014C23">
        <w:rPr>
          <w:rFonts w:ascii="Times New Roman" w:eastAsia="Calibri" w:hAnsi="Times New Roman" w:cs="Times New Roman"/>
          <w:sz w:val="18"/>
          <w:szCs w:val="18"/>
        </w:rPr>
        <w:t>.</w:t>
      </w:r>
      <w:r w:rsidRPr="00014C2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F3E99" w:rsidRPr="00014C23" w:rsidRDefault="001F3E99" w:rsidP="001F3E99">
      <w:pPr>
        <w:autoSpaceDE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F3E99" w:rsidRPr="00014C23" w:rsidRDefault="001F3E99" w:rsidP="001F3E99">
      <w:pPr>
        <w:jc w:val="both"/>
        <w:rPr>
          <w:rFonts w:ascii="Times New Roman" w:hAnsi="Times New Roman" w:cs="Times New Roman"/>
          <w:sz w:val="18"/>
          <w:szCs w:val="18"/>
        </w:rPr>
      </w:pPr>
      <w:r w:rsidRPr="00014C23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</w:t>
      </w:r>
      <w:proofErr w:type="spellStart"/>
      <w:r w:rsidRPr="00014C23">
        <w:rPr>
          <w:rFonts w:ascii="Times New Roman" w:hAnsi="Times New Roman" w:cs="Times New Roman"/>
          <w:sz w:val="18"/>
          <w:szCs w:val="18"/>
        </w:rPr>
        <w:t>В.Н.Тарасов</w:t>
      </w:r>
      <w:proofErr w:type="spellEnd"/>
    </w:p>
    <w:p w:rsidR="001F3E99" w:rsidRPr="00014C23" w:rsidRDefault="001F3E99" w:rsidP="001F3E99">
      <w:pPr>
        <w:shd w:val="clear" w:color="auto" w:fill="FFFFFF"/>
        <w:ind w:right="-108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F3E99" w:rsidRPr="00014C23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14C23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к постановлению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Администрации Дичнянского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сельсовета Курчатовского района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Курской области от 13.11.2018г.№384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ПОСТАНОВЛЕНИЕ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от 11 марта 2020 года   №157 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 16 октября 2020 года   №252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</w:t>
      </w:r>
      <w:r w:rsidRPr="008C1D30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8C1D30">
        <w:rPr>
          <w:rFonts w:ascii="Times New Roman" w:hAnsi="Times New Roman" w:cs="Times New Roman"/>
          <w:b/>
          <w:bCs/>
          <w:sz w:val="16"/>
          <w:szCs w:val="16"/>
        </w:rPr>
        <w:t xml:space="preserve"> от  26 апреля  2021 №50</w:t>
      </w:r>
    </w:p>
    <w:p w:rsidR="001F3E99" w:rsidRPr="008C1D30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 15 сентября    2021 г. №89</w:t>
      </w:r>
    </w:p>
    <w:p w:rsidR="001F3E99" w:rsidRDefault="001F3E99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C1D30"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 от22 ноября 2021 года   №117</w:t>
      </w:r>
    </w:p>
    <w:p w:rsidR="00014C23" w:rsidRPr="008C1D30" w:rsidRDefault="00014C23" w:rsidP="001F3E99">
      <w:pPr>
        <w:widowControl w:val="0"/>
        <w:tabs>
          <w:tab w:val="left" w:pos="150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 редакции постановления</w:t>
      </w:r>
      <w:r w:rsidR="003C17F9">
        <w:rPr>
          <w:rFonts w:ascii="Times New Roman" w:hAnsi="Times New Roman" w:cs="Times New Roman"/>
          <w:b/>
          <w:bCs/>
          <w:sz w:val="16"/>
          <w:szCs w:val="16"/>
        </w:rPr>
        <w:t xml:space="preserve"> от 01.02.2022 №11</w:t>
      </w:r>
      <w:bookmarkStart w:id="0" w:name="_GoBack"/>
      <w:bookmarkEnd w:id="0"/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Муниципальная программа «Развитие культуры»</w:t>
      </w: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в МО «Дичнянский се6льсовет»</w:t>
      </w:r>
    </w:p>
    <w:p w:rsidR="001F3E99" w:rsidRPr="009148E0" w:rsidRDefault="001F3E99" w:rsidP="001F3E99">
      <w:pPr>
        <w:widowControl w:val="0"/>
        <w:tabs>
          <w:tab w:val="left" w:pos="15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Курчатовского района Курской области</w:t>
      </w:r>
    </w:p>
    <w:p w:rsidR="001F3E99" w:rsidRPr="009148E0" w:rsidRDefault="001F3E99" w:rsidP="001F3E99">
      <w:pPr>
        <w:widowControl w:val="0"/>
        <w:tabs>
          <w:tab w:val="left" w:pos="150"/>
        </w:tabs>
        <w:ind w:firstLine="3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Паспорт муниципальной 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0"/>
        <w:gridCol w:w="6109"/>
      </w:tblGrid>
      <w:tr w:rsidR="001F3E99" w:rsidRPr="009148E0" w:rsidTr="00014C2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отсутствуют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МКУ «Центр культуры и досуга»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«Искусство» </w:t>
            </w:r>
          </w:p>
        </w:tc>
      </w:tr>
      <w:tr w:rsidR="001F3E99" w:rsidRPr="009148E0" w:rsidTr="00014C23">
        <w:trPr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Программно-целевые инструменты программы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Цели 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Задачи программы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6"/>
              <w:rPr>
                <w:rFonts w:eastAsia="Times New Roman"/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t>сохранение культурного и исторического наследия, обеспечение доступа граждан к культурным ценностям;</w:t>
            </w:r>
          </w:p>
          <w:p w:rsidR="001F3E99" w:rsidRPr="009148E0" w:rsidRDefault="001F3E99" w:rsidP="00014C23">
            <w:pPr>
              <w:pStyle w:val="a6"/>
              <w:rPr>
                <w:rFonts w:eastAsia="Times New Roman"/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F3E99" w:rsidRPr="009148E0" w:rsidRDefault="001F3E99" w:rsidP="00014C23">
            <w:pPr>
              <w:pStyle w:val="a6"/>
              <w:rPr>
                <w:sz w:val="16"/>
                <w:szCs w:val="16"/>
              </w:rPr>
            </w:pPr>
            <w:r w:rsidRPr="009148E0">
              <w:rPr>
                <w:rFonts w:eastAsia="Times New Roman"/>
                <w:sz w:val="16"/>
                <w:szCs w:val="16"/>
              </w:rPr>
              <w:lastRenderedPageBreak/>
              <w:t>создание благоприятных условий для развития творческих коллективов и устойчивого развития сферы культуры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доля объектов культурного наследия,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находящихся в удовлетворительном состоянии, в общем количестве объектов культурного наследия   местного значения (проценты) увеличение количества культурно-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просветительских мероприятий, проводимых учреждениями культуры  по сравнению с 2018 годом (проценты)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 сельсовета,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1F3E99" w:rsidRPr="009148E0" w:rsidRDefault="001F3E99" w:rsidP="00014C23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области,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проценты</w:t>
            </w:r>
          </w:p>
        </w:tc>
      </w:tr>
      <w:tr w:rsidR="001F3E99" w:rsidRPr="009148E0" w:rsidTr="00014C23">
        <w:trPr>
          <w:trHeight w:val="4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2019-2025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F3E99" w:rsidRPr="009148E0" w:rsidTr="00014C23">
        <w:trPr>
          <w:trHeight w:val="12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Объемы бюджетных          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ассигнований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средств, предусмотренных на     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реализацию муниципальной программы 10996,5тыс. рублей, в том числе:</w:t>
            </w:r>
          </w:p>
          <w:p w:rsidR="001F3E99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объем ассигнований, источником которых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является местный бюджет составляет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759414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том числе:</w:t>
            </w:r>
          </w:p>
          <w:p w:rsidR="001F3E99" w:rsidRPr="009148E0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 г. -  1431388,56 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 г. – 2673801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2021 г. – 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1930484,44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2022 г. – 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>1658848,00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г. – 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>1690690,00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г. – 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>1721202,00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2025 г. – 1653000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</w:p>
        </w:tc>
      </w:tr>
      <w:tr w:rsidR="001F3E99" w:rsidRPr="009148E0" w:rsidTr="00014C23">
        <w:trPr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Ожидаемые результаты реализации  программы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сохранение и развитие культуры как одного из основных стратегических ресурсов развития Дичнянского сельсовета;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вовлечение объектов культуры в социально-экономическую деятельность Дичнянского сельсовета;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- формирование привлекательного имиджа Дичнянского сельсовета; 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обеспечение безопасности культурных ценностей;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творческой деятельности;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-улучшение качественного состава и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обновляемости</w:t>
            </w:r>
            <w:proofErr w:type="spell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библиотечного фонда; 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привлечения в отрасль культуры молодых специалистов;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подготовка высокопрофессиональных кадров отрасли;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укрепление материально-технической базы отрасли культуры;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увеличение уровня социального обеспечения работников культуры, финансовой поддержки творческих коллективов, социально-значимых проектов;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повышение заработной платы работников отрасли культуры;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повышение эффективности использования бюджетных средств, направленных на оказание муниципальных услуг;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формирование необходимой нормативно-правовой базы, обеспечивающей эффективную реализацию программы;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I. 1. Общая характеристика сферы реализации муниципальной программы «Развитие культуры»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в МО «Дичнянский се6льсовет» Курчатовского района Курской области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культурной политики.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Отрасль, традиционно ориентированная на муниципальную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ремонта, незначительно пополняются библиотечные фонды, требуется модернизация и обновление специального оборудования и музыкальных инструментов.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период реализации Программы планируется создание таких условий, при которых основной спектр культурных услуг будет доступен всем гражданам, проживающим в различных населенных пунктах сельсовета и принадлежащим к различным социальным группам. 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фестивали, выставки, смотры, конкурсы, в том числе через привлечение областных и районных профессиональных коллективов, участие в районных, областных, межрегиональных, всероссийских конкурсах и фестивалях.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культурной политики.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Отрасль, традиционно ориентированная на муниципальную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ремонта, незначительно пополняются библиотечные фонды, требуется модернизация и обновление специального оборудования и музыкальных инструментов.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период реализации Программы планируется создание таких условий, при которых основной спектр культурных услуг будет доступен всем гражданам, проживающим в различных  населенных пунктах сельсовета и принадлежащим к различным социальным группам. Мероприятия программы обеспечивают развитие учреждений культуры, совершенствование деятельности </w:t>
      </w:r>
      <w:r w:rsidRPr="009148E0">
        <w:rPr>
          <w:rFonts w:ascii="Times New Roman" w:hAnsi="Times New Roman" w:cs="Times New Roman"/>
          <w:bCs/>
          <w:sz w:val="16"/>
          <w:szCs w:val="16"/>
        </w:rPr>
        <w:lastRenderedPageBreak/>
        <w:t>коллективов, организацию досуга населения и поддержку традиционной народной культуры. В этих целях организуются фестивали, выставки, смотры, конкурсы, в том числе через привлечение областных и районных профессиональных коллективов, участие в районных, областных, межрегиональных, всероссийских конкурсах и фестивалях.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модернизация и обновление специального оборудования, музыкальных инструментов и аппаратуры учреждения культуры сельсовета. В связи с этим значительная часть затрат, связанных с реализацией данной Программы, приходится на проведение ремонтных работ на объекте культуры. Программно-целевой метод позволит сконцентрировать финансовые ресурсы на проведении работ на конкретном объекте, предотвратить их распыление.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Использование программно-целевого метода позволит реализовать направления Программы, охватывающие все основные сферы культурной жизни: народное творчество, развитие культурно-досуговой деятельности и самодеятельного народного творчества, библиотечного дела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Приоритеты политики в сфере культуры установлены следующими нормативными правовыми актами Российской Федерации и Курской области: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Российской Федерации от 9 октября 1992 г. № 3612-I "Основы законодательства Российской Федерации о культуре";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5 марта 2004 г. № 9-ЗКО «О культуре»;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29 декабря 2005 г. № 120-ЗКО «Об объектах культурного наследия Курской области»;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Закон Курской области от 28 февраля 2011 г. №15-ЗКО «О программе социально-экономического развития Курской области на 2011-2015 годы».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Вместе с тем остаются нерешенными многие проблемы в развитии сферы культуры. В их числе: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снижение культурно-образовательного уровня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снижение доступности культурных форм досуга для жителей сельской местности;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дефицит кадров, прежде всего в сельской местности, творческих кадров культурно-досуговых и иных учреждений культуры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недостаточный объём финансирования поддержки творческих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отсутствие системной организации государственно-частного партнерства и меценатства в области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культурного и духовного наследия, самобытных традиций;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инновационного развития отрасли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раскрытие культурного потенциала, преодоление отставания и диспропорций в культурном уровне поселения;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материально-технической базы;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и дальнейшее развитие народного творчества, сферы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качества работы культурно - досуговых учреждений;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доступности населения к услугам, оказываемым учреждением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Главной целью Программы является реализация роли культуры как духовно-нравственного основания развития личности и государства, единства российского общества.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Формулировка цели определяется приоритетами муниципальной политики, ключевыми проблемами в рассматриваемой сфере.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Достижение данной цели предполагается посредством решения взаимосвязанных задач, отражающих установленные полномочия муниципальных органов власти области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Задача 1. Сохранение культурного и исторического наследия народа, обеспечение доступа граждан к культурным ценностям.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указанных задач будет обеспечено посредством реализации подпрограммы: «Искусство», включающих: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оказание муниципальных услуг (выполнение работ) в сфере культуры, в которых будут задействованы: библиотеки, учреждения культурн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о-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осуществление мер муниципальной поддержки кинообслуживания, творческих инициатив населения, молодых дарований, работников сферы культуры, творческих коллективов и организаций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проведение мероприятий, посвященных значимым событиям отечественной и мировой культуры, а также мероприятий по развитию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Реализация Программы будет осуществляться с 2019 по 2025 год в один этап.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Данная задача выполняется в рамках подпрограммы «Искусство»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2025 года.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Для решения этой задачи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реализация мер по развитию информатизации отрасли;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поддержка приоритетных инновационных проектов;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указанных задач и достижение главной цели Программы позволит к 2025 году достигнуть следующих основных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укрепление единого культурного пространства, а также духовного единства и социальной стабильности;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качества муниципального управления и эффективности расходования бюджетных средств;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достижение необходимого уровня эффективности </w:t>
      </w:r>
      <w:proofErr w:type="spellStart"/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</w:t>
      </w:r>
      <w:proofErr w:type="spellEnd"/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-п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равового регулирования отрасли;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удовлетворение потребностей различных категорий граждан Курчатовского района в активном и полноценном отдыхе, приобщении к культурным ценностям.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Важнейшими условиями успешной реализации Программы будут являться: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повышение эффективности управления отраслью;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создание условий для придания нового современного облика учреждениям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привлечение внебюджетных источников финансирования для реализации проектов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3. Сведения о показателях и индикаторах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Система показателей муниципальной программы включает взаимодополняющие друг друга индикаторы и цели, указанные в программе и подпрограмме. </w:t>
      </w:r>
      <w:r w:rsidRPr="009148E0">
        <w:rPr>
          <w:rFonts w:ascii="Times New Roman" w:hAnsi="Times New Roman" w:cs="Times New Roman"/>
          <w:sz w:val="16"/>
          <w:szCs w:val="16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iCs/>
          <w:sz w:val="16"/>
          <w:szCs w:val="16"/>
        </w:rPr>
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  <w:u w:val="single"/>
        </w:rPr>
        <w:t>-</w:t>
      </w:r>
      <w:r w:rsidRPr="009148E0">
        <w:rPr>
          <w:rFonts w:ascii="Times New Roman" w:hAnsi="Times New Roman" w:cs="Times New Roman"/>
          <w:sz w:val="16"/>
          <w:szCs w:val="16"/>
        </w:rPr>
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Показатель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Целевые индикаторы и показатели Программы приведены в таблице №1 (приложении № 1.)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 xml:space="preserve">4. Обобщенная характеристика основных мероприятий муниципальной программы и её подпрограммы.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 рамках муниципальной </w:t>
      </w:r>
      <w:r w:rsidRPr="009148E0">
        <w:rPr>
          <w:rFonts w:ascii="Times New Roman" w:hAnsi="Times New Roman" w:cs="Times New Roman"/>
          <w:sz w:val="16"/>
          <w:szCs w:val="16"/>
        </w:rPr>
        <w:t>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для решения задач по </w:t>
      </w:r>
      <w:r w:rsidRPr="009148E0">
        <w:rPr>
          <w:rFonts w:ascii="Times New Roman" w:hAnsi="Times New Roman" w:cs="Times New Roman"/>
          <w:sz w:val="16"/>
          <w:szCs w:val="16"/>
        </w:rPr>
        <w:t>созданию благоприятных условий для устойчивого развития сферы культуры и обеспечения условий реализации муниципальной программы, а также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по обеспечению доступа </w:t>
      </w:r>
      <w:r w:rsidRPr="009148E0">
        <w:rPr>
          <w:rFonts w:ascii="Times New Roman" w:hAnsi="Times New Roman" w:cs="Times New Roman"/>
          <w:sz w:val="16"/>
          <w:szCs w:val="16"/>
        </w:rPr>
        <w:t>граждан к участию в культурной жизни, реализация творческого потенциала населения -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предусматривается реализация подпрограммы 1 «Искусство».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Решение задач подпрограммы 1 «Искус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  <w:lang w:val="en-US"/>
        </w:rPr>
        <w:t>c</w:t>
      </w:r>
      <w:proofErr w:type="spellStart"/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тво</w:t>
      </w:r>
      <w:proofErr w:type="spellEnd"/>
      <w:r w:rsidRPr="009148E0">
        <w:rPr>
          <w:rFonts w:ascii="Times New Roman" w:hAnsi="Times New Roman" w:cs="Times New Roman"/>
          <w:bCs/>
          <w:sz w:val="16"/>
          <w:szCs w:val="16"/>
        </w:rPr>
        <w:t>» предполагает реализацию следующих основных мероприятий:</w:t>
      </w:r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 Организация деятельности клубных формирований</w:t>
      </w:r>
      <w:r w:rsidRPr="009148E0">
        <w:rPr>
          <w:rFonts w:ascii="Times New Roman" w:hAnsi="Times New Roman" w:cs="Times New Roman"/>
          <w:bCs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а также следующие прочие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1.2.поддержка творческих инициатив населения, молодых дарований, а также организаций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1.3.организация работы с детьми, с гражданами с ограниченными физическими возможностями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1.4.укрепление единого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1.5.интеграция культуры Дичнянского сельсовета в культурное пространство Курчатовского района и межрегиональное пространство.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1.6.сохранение и развитие творческого потенциала муниципального образования.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1.7.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9148E0">
        <w:rPr>
          <w:rFonts w:ascii="Times New Roman" w:hAnsi="Times New Roman" w:cs="Times New Roman"/>
          <w:sz w:val="16"/>
          <w:szCs w:val="16"/>
        </w:rPr>
        <w:t>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Перечень основных мероприятий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 приведен таблице 2 (Приложение № 1) к муниципальной программе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5.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поселения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Инвестиционные проекты, исполнение которых полностью или частично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осуществляется за счет средств местного бюджета в случае их реализации в  сфере социально-экономического развития поселения данной программой не предусмотрены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6. Обобщенная характеристика мер государственного регулирования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7.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8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9. Обоснования выделения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 учетом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подотраслей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отрасли культуры, отнесенных к сфере реализации Программы, в ее составе выделяется подпрограммы «Искусство».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Предусмотренные в рамках подпрограммы системы целей, задач и мероприятий в комплексе наиболее полным образом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охватывают весь диапазон заданных приоритетных направлений развития сферы культуры и в максимальной степени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будут способствовать достижению целей и конечных результатов настоящей муниципальной 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для привлечения в отрасль культуры молодых специалистов,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высококвалифицированных кадров;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укрепление единого культурного пространства и имиджа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Макаровского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сельсовета, как привлекательного и гармоничного муниципального образования с высоким уровнем культуры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10. Обоснование объема финансовых ресурсов, необходимых для реализации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Финансирование программных мероприятий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предусматривается за счет средств бюджета Реализация мероприятий Программы осуществляется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Объем финансирования мероприятий Программы составляет 8456,0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тыс. рублей за счет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014C23" w:rsidRPr="00014C23" w:rsidRDefault="001F3E99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соответствии с бюджетом действующих расходных обязательств  объем ассигнований, источником которых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является местный бюджет составляет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  <w:r w:rsidR="00014C23" w:rsidRPr="00014C23">
        <w:rPr>
          <w:rFonts w:ascii="Times New Roman" w:hAnsi="Times New Roman" w:cs="Times New Roman"/>
          <w:b/>
          <w:sz w:val="16"/>
          <w:szCs w:val="16"/>
        </w:rPr>
        <w:t>12759414  рублей в том числе: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2019 г. -  1431388,56 рублей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2020 г. – 2673801,00 рублей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2021 г. – 1930484,44 рублей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2022 г. – 1658848,00 рублей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2023 г. – 1690690,00 рублей</w:t>
      </w:r>
    </w:p>
    <w:p w:rsidR="00014C23" w:rsidRPr="00014C23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2024 г. – 1721202,00 рублей</w:t>
      </w:r>
    </w:p>
    <w:p w:rsidR="001F3E99" w:rsidRPr="009148E0" w:rsidRDefault="00014C23" w:rsidP="00014C23">
      <w:pPr>
        <w:widowControl w:val="0"/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014C23">
        <w:rPr>
          <w:rFonts w:ascii="Times New Roman" w:hAnsi="Times New Roman" w:cs="Times New Roman"/>
          <w:b/>
          <w:sz w:val="16"/>
          <w:szCs w:val="16"/>
        </w:rPr>
        <w:t>2025 г. – 1653000,00 рублей</w:t>
      </w:r>
      <w:r w:rsidRPr="00014C2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F3E99"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11. Оценка </w:t>
      </w:r>
      <w:proofErr w:type="gramStart"/>
      <w:r w:rsidR="001F3E99" w:rsidRPr="009148E0">
        <w:rPr>
          <w:rFonts w:ascii="Times New Roman" w:hAnsi="Times New Roman" w:cs="Times New Roman"/>
          <w:b/>
          <w:bCs/>
          <w:sz w:val="16"/>
          <w:szCs w:val="16"/>
        </w:rPr>
        <w:t>степени влияния выделения дополнительных объемов ресурсов</w:t>
      </w:r>
      <w:proofErr w:type="gramEnd"/>
      <w:r w:rsidR="001F3E99"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12.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Важное значение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реализации муниципальной программы могут быть выделены следующие риски ее реализации.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  <w:lang w:val="x-none"/>
        </w:rPr>
        <w:t>Для минимизации воздействия данной группы рисков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на этапе разработки проектов документов </w:t>
      </w:r>
      <w:r w:rsidRPr="009148E0">
        <w:rPr>
          <w:rFonts w:ascii="Times New Roman" w:hAnsi="Times New Roman" w:cs="Times New Roman"/>
          <w:sz w:val="16"/>
          <w:szCs w:val="16"/>
        </w:rPr>
        <w:t xml:space="preserve">Дичнянского сельсовета по данному направлению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постоянно изучать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проводи</w:t>
      </w:r>
      <w:r w:rsidRPr="009148E0">
        <w:rPr>
          <w:rFonts w:ascii="Times New Roman" w:hAnsi="Times New Roman" w:cs="Times New Roman"/>
          <w:sz w:val="16"/>
          <w:szCs w:val="16"/>
        </w:rPr>
        <w:t xml:space="preserve">мый Комитетом по культуре Курской области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>мониторинг планируемых изменений в федеральном законодательстве в сферах культуры, и смежных областях.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  <w:lang w:val="x-none"/>
        </w:rPr>
        <w:t xml:space="preserve">Финансовые риски связаны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с </w:t>
      </w:r>
      <w:r w:rsidRPr="009148E0">
        <w:rPr>
          <w:rFonts w:ascii="Times New Roman" w:hAnsi="Times New Roman" w:cs="Times New Roman"/>
          <w:sz w:val="16"/>
          <w:szCs w:val="16"/>
        </w:rPr>
        <w:t xml:space="preserve">возможным дефицитом бюджета 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и недостаточным вследствие этого уровнем бюджетного финансирования, с</w:t>
      </w:r>
      <w:r w:rsidRPr="009148E0">
        <w:rPr>
          <w:rFonts w:ascii="Times New Roman" w:hAnsi="Times New Roman" w:cs="Times New Roman"/>
          <w:sz w:val="16"/>
          <w:szCs w:val="16"/>
        </w:rPr>
        <w:t>окращением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бюджетных расходов на сфер</w:t>
      </w:r>
      <w:r w:rsidRPr="009148E0">
        <w:rPr>
          <w:rFonts w:ascii="Times New Roman" w:hAnsi="Times New Roman" w:cs="Times New Roman"/>
          <w:sz w:val="16"/>
          <w:szCs w:val="16"/>
        </w:rPr>
        <w:t>у</w:t>
      </w:r>
      <w:r w:rsidRPr="009148E0">
        <w:rPr>
          <w:rFonts w:ascii="Times New Roman" w:hAnsi="Times New Roman" w:cs="Times New Roman"/>
          <w:sz w:val="16"/>
          <w:szCs w:val="16"/>
          <w:lang w:val="x-none"/>
        </w:rPr>
        <w:t xml:space="preserve"> культуры,  что может повлечь недофинансирование, сокращение или прекращение программных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Способами ограничения финансовых рисков выступают: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ежегодное уточнение объемов финансовых средств, предусмотренных на реализацию мероприятий </w:t>
      </w:r>
      <w:r w:rsidRPr="009148E0">
        <w:rPr>
          <w:rFonts w:ascii="Times New Roman" w:hAnsi="Times New Roman" w:cs="Times New Roman"/>
          <w:bCs/>
          <w:sz w:val="16"/>
          <w:szCs w:val="16"/>
        </w:rPr>
        <w:t>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рограммы, в зависимости от достигнутых результатов;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определение приоритетов для первоочередного финансирования;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привлечение внебюджетного финансирования.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Макроэкономические риски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связанны с возможностями   снижения темпов роста национальной экономики области, района и муниципального образования, а также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программы,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мероприятий, связанных со строительством, реконструкцией и капитальным ремонтом учреждений культуры и т.п.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Административные риски. Риски данной группы связаны с неэффективным управлением реализацией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муниципальной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Основными условиями минимизации административных рисков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формирование эффективной системы управления реализацией муниципальной 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систематического мониторинга результативности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регулярная публикация отчетов о ходе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повышение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эффективности взаимодействия участников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заключение и контроль реализации соглашений о взаимодействии с заинтересованными сторонами;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системы мониторингов реализации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своевременная корректировка мероприятий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9148E0">
        <w:rPr>
          <w:rFonts w:ascii="Times New Roman" w:hAnsi="Times New Roman" w:cs="Times New Roman"/>
          <w:sz w:val="16"/>
          <w:szCs w:val="16"/>
        </w:rPr>
        <w:t>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13. Методика оценки эффективности муниципальной 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Методика оценки эффективности муниципальной программы учитывает необходимость проведения оценок: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1) степени достижения целей и решения задач подпрограмм и муниципальной программы в целом;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3) степени реализации основных мероприятий (достижения ожидаемых непосредственных результатов их реализации).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степени достижения целей и решения задач подпрограмм и муниципальной программы в целом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Степень достижения планового значения показателя (индикатора) рассчитывается по следующим формулам: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показателей (индикаторов), желаемой тенденцией развития которых является увеличение значений: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9067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показателей (индикаторов), желаемой тенденцией развития которых является снижение значений: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9067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191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плановое значение показателя (индикатора), характеризующего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13. Степень реализации подпрограммы рассчитывается по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447800" cy="447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N - число показателей (индикаторов), характеризующих цели и задачи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больше 1, значение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672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принимается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равным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1.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следующую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33525" cy="447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 xml:space="preserve">где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714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удельный вес, отражающий значимость показателя (индикатора), 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степени соответствия запланированному уровню затрат и эффективности использования средств местного бюджета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8107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905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фактические расходы на реализацию подпрограммы в отчетном году;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плановые расходы на реализацию подпрограммы в отчетном году.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11442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76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эффективность использования средств областного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048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 из средств местного бюджета.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Данный показатель рассчитывается по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1144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76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эффективность использования финансовых ресурсов на реализацию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048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всех мероприятий подпрограммы;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33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8E0">
        <w:rPr>
          <w:rFonts w:ascii="Times New Roman" w:hAnsi="Times New Roman" w:cs="Times New Roman"/>
          <w:sz w:val="16"/>
          <w:szCs w:val="16"/>
        </w:rPr>
        <w:t xml:space="preserve"> - степень соответствия запланированному уровню расходов из всех источников.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Оценка степени реализации основных мероприятий (достижения ожидаемых непосредственных результатов их реализации)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СРм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=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Мв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/ М,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где: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СРм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- степень реализации мероприятий;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148E0">
        <w:rPr>
          <w:rFonts w:ascii="Times New Roman" w:hAnsi="Times New Roman" w:cs="Times New Roman"/>
          <w:sz w:val="16"/>
          <w:szCs w:val="16"/>
        </w:rPr>
        <w:t>Мв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 - общее количество мероприятий, запланированных к реализации в отчетном году.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 формировании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методики оценки эффективности реализации муниципальной 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-расчет степени реализации мероприятий на уровне основных мероприятий подпрограмм;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-только для мероприятий, полностью или частично реализуемых за счет средств местного бюджета;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-для всех мероприятий муниципальной 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. Мероприятие может считаться выполненным в полном объеме при достижении следующих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-мероприятие,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148E0">
          <w:rPr>
            <w:rStyle w:val="a3"/>
            <w:rFonts w:ascii="Times New Roman" w:hAnsi="Times New Roman" w:cs="Times New Roman"/>
            <w:sz w:val="16"/>
            <w:szCs w:val="16"/>
          </w:rPr>
          <w:t>&lt;1&gt;</w:t>
        </w:r>
      </w:hyperlink>
      <w:r w:rsidRPr="009148E0">
        <w:rPr>
          <w:rFonts w:ascii="Times New Roman" w:hAnsi="Times New Roman" w:cs="Times New Roman"/>
          <w:sz w:val="16"/>
          <w:szCs w:val="16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148E0">
          <w:rPr>
            <w:rStyle w:val="a3"/>
            <w:rFonts w:ascii="Times New Roman" w:hAnsi="Times New Roman" w:cs="Times New Roman"/>
            <w:sz w:val="16"/>
            <w:szCs w:val="16"/>
          </w:rPr>
          <w:t>&lt;2&gt;</w:t>
        </w:r>
      </w:hyperlink>
      <w:r w:rsidRPr="009148E0">
        <w:rPr>
          <w:rFonts w:ascii="Times New Roman" w:hAnsi="Times New Roman" w:cs="Times New Roman"/>
          <w:sz w:val="16"/>
          <w:szCs w:val="16"/>
        </w:rPr>
        <w:t>. В том случае, когда для описания результатов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&lt;2&gt; Выполнение данного условия подразумевает, что в случае если степень достижения показателя (индикатора) составляет </w:t>
      </w:r>
      <w:r w:rsidRPr="009148E0">
        <w:rPr>
          <w:rFonts w:ascii="Times New Roman" w:hAnsi="Times New Roman" w:cs="Times New Roman"/>
          <w:sz w:val="16"/>
          <w:szCs w:val="16"/>
        </w:rPr>
        <w:lastRenderedPageBreak/>
        <w:t>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-по иным мероприятиям результаты реализации могут оцениваться как наступление или не наступление и (или) достижение качественного результата (оценка</w:t>
      </w:r>
      <w:r w:rsidRPr="009148E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 xml:space="preserve">проводится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экспертно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).</w:t>
      </w:r>
    </w:p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Подпрограмма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«Искусство» 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Паспорт подпрограммы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63"/>
      </w:tblGrid>
      <w:tr w:rsidR="001F3E99" w:rsidRPr="009148E0" w:rsidTr="00014C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исполнитель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Дичнянского сельсовета</w:t>
            </w:r>
          </w:p>
        </w:tc>
      </w:tr>
      <w:tr w:rsidR="001F3E99" w:rsidRPr="009148E0" w:rsidTr="00014C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Соисполнители 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отсутствуют</w:t>
            </w:r>
          </w:p>
        </w:tc>
      </w:tr>
      <w:tr w:rsidR="001F3E99" w:rsidRPr="009148E0" w:rsidTr="00014C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Участники  подпрограммы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МКУ «Центр культуры и досуга»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Программно-целевые инструменты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Не предусмотрены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Цели подпрограммы 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обеспечение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      </w:r>
          </w:p>
          <w:p w:rsidR="001F3E99" w:rsidRPr="009148E0" w:rsidRDefault="001F3E99" w:rsidP="00014C23">
            <w:pPr>
              <w:pStyle w:val="a4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создание условий для обеспечения единого культурного пространства сельсовета в целях формирования гражданского общества;</w:t>
            </w:r>
          </w:p>
          <w:p w:rsidR="001F3E99" w:rsidRPr="009148E0" w:rsidRDefault="001F3E99" w:rsidP="00014C23">
            <w:pPr>
              <w:widowControl w:val="0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Задачи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обеспечение сохранности историко-культурного наследия;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обеспечение поддержки самодеятельного творчества, создание условий для его развития и участия граждан в культурной жизни сельсовета;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обновление специального оборудования учреждения, укрепление материально-технической базы.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Целевые индикаторы и показатели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доля объектов культурного наследия,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находящихся в удовлетворительном состоянии, в общем количестве объектов культурного наследия   местного значения (проценты) увеличение количества культурно-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просветительских мероприятий, проводимых учреждениями культуры  по сравнению с 2018 годом (проценты)</w:t>
            </w:r>
          </w:p>
          <w:p w:rsidR="001F3E99" w:rsidRPr="009148E0" w:rsidRDefault="001F3E99" w:rsidP="00014C23">
            <w:pPr>
              <w:suppressAutoHyphens w:val="0"/>
              <w:autoSpaceDE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 сельсовета,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1F3E99" w:rsidRPr="009148E0" w:rsidRDefault="001F3E99" w:rsidP="00014C23">
            <w:pPr>
              <w:pStyle w:val="a4"/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области,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 проценты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2019-2025 </w:t>
            </w:r>
            <w:proofErr w:type="spell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spellEnd"/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Объем бюджетных ассигнований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C23" w:rsidRPr="00014C23" w:rsidRDefault="001F3E99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Объем ассигнований, источником которых 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является местный бюджет составляет</w:t>
            </w:r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</w:t>
            </w:r>
            <w:r w:rsidR="00014C23"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12759414  рублей в том числе: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2019 г. -  1431388,56 рублей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2020 г. – 2673801,00 рублей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2021 г. – 1930484,44 рублей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2022 г. – 1658848,00 рублей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2023 г. – 1690690,00 рублей</w:t>
            </w:r>
          </w:p>
          <w:p w:rsidR="00014C23" w:rsidRPr="00014C23" w:rsidRDefault="00014C23" w:rsidP="00014C2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2024 г. – 1721202,00 рублей</w:t>
            </w:r>
          </w:p>
          <w:p w:rsidR="001F3E99" w:rsidRPr="009148E0" w:rsidRDefault="00014C23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C23">
              <w:rPr>
                <w:rFonts w:ascii="Times New Roman" w:hAnsi="Times New Roman" w:cs="Times New Roman"/>
                <w:b/>
                <w:sz w:val="16"/>
                <w:szCs w:val="16"/>
              </w:rPr>
              <w:t>2025 г. – 1653000,00 рублей</w:t>
            </w:r>
          </w:p>
        </w:tc>
      </w:tr>
      <w:tr w:rsidR="001F3E99" w:rsidRPr="009148E0" w:rsidTr="00014C2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Ожидаемые результаты реализации подпрограммы</w:t>
            </w:r>
          </w:p>
        </w:tc>
        <w:tc>
          <w:tcPr>
            <w:tcW w:w="5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создание условий для творческой деятельности; 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укрепление материально-технической базы учреждения;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повышение заработной платы работников учреждения;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- повышение эффективности использования бюджетных средств, направленных на оказание муниципальных услуг.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1. Характеристика сферы реализации подпрограммы, описание основных проблем в указанной сфере и прогноз ее развити</w:t>
      </w:r>
      <w:r w:rsidRPr="009148E0">
        <w:rPr>
          <w:rFonts w:ascii="Times New Roman" w:hAnsi="Times New Roman" w:cs="Times New Roman"/>
          <w:sz w:val="16"/>
          <w:szCs w:val="16"/>
        </w:rPr>
        <w:t>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Подпрограмма направлена на решение задач 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Деятельность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Сфера реализации подпрограммы охватывает: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-сохранение и развитие любительского самодеятельного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поддержку творческих инициатив населения, молодых дарований, а также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Наиболее острые проблемы в сфере реализации подпрограммы включают: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низкий уровень информатизации и т.д.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Решение указанных выше проблем требует от органов муниципальной власти и руководителей учреждений культурно-досугового типа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более системного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целях создания условий для улучшения доступа к культурным ценностям широких слоёв населения, учреждениям культуры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Необходимо вести большую работу по привлечению детей, подростков и молодежи к реализации своих творческих способностей, что отвечает приоритетным задачам реализации муниципальной программы.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сфере самодеятельного любительского искусства на современном этапе необходимо расширять, прежде всего, гастрольную деятельность самодеятельных коллективов муниципального образования в районе и за его пределами, создавать новые формы сотрудничества между учреждениями культуры района.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Необходимо принимать участие в районных смотрах по всем видам и жанрам самодеятельного любительского творчества, коллективам—победителям -  в зональных и областных смотрах и конкурсах.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результате к 2025 году прогнозируется: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среднего числа зрителей на культурно-досуговых мероприятиях в расчёте на 1000 человек;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расширение гастрольной деятельности самодеятельных коллективов в районе и за его пределами;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доли детей, привлекаемых к участию в творческих мероприятиях от общего числа детей.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Одним из приоритетных направлений деятельности является поддержка молодых дарований.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результате прогнозируется к 2025 году: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-прирост количества мероприятий с участием детей и подростков, для выявления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-прирост числа участников и победителей конкурсов.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 и в муниципальном районе.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>Главные приоритеты муниципальной политики в сфере подпрограммы  сформулированы в стратегических документах и нормативных правовых актах Российской Федерации и Курской области, указанных в подразделе 1.1 раздела 2 текстовой части Программы.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Главными направлениями культурной политики поселения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единого культурного и информационного пространства;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культурного наследия.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 учетом указанных приоритетов целью подпрограммы является обеспечение прав граждан на участие в культурной жизни.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Достижение установленной цели потребует решения следующих задач: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сохранения и развития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сохранения и развития традиционной народной культуры, нематериального культурного наследия населения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создание условий поддержки молодых дарований, творческих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Показателями  реализации подпрограммы выступают: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зрителей на мероприятиях; средняя сумма одного гранта Губернатора Курской области для поддержки сельской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количество творческих коллективов, получающих средства на поддержку творческой деятельности;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населения, участвующего в клубных формированиях в расчете на 100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посещений киносеансов в расчете на 1 человека.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 качестве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индикаторов оценки решения задач подпрограммы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Основными ожидаемыми результатами реализации подпрограммы  являются: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качества и доступности услуг  учреждений культурно-досугового типа, организаций, осуществляющих кинопоказ;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доли качественных российских фильмов в кинопрокате;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муниципальной поддержки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муниципальной поддержки художественных коллективов, творческих коллективов и организаций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работников учреждений культурно-досугового типа и др.;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концертных учреждений культурно-досугового типа, организаций, осуществляющих кинопоказ;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использования бюджетных средств, направляемых на оказание муниципальной поддержки развития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новый качественный уровень развития бюджетной сети концертных организаций, учреждений культурно-досугового типа.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Срок и этапы реализации подпрограммы 1: 2019 - 2025 годы, в один этап.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3. Характеристика основных мероприятий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Для достижения цели и решения задач подпрограммы планируется выполнение основного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-</w:t>
      </w:r>
      <w:r w:rsidRPr="009148E0">
        <w:rPr>
          <w:rFonts w:ascii="Times New Roman" w:hAnsi="Times New Roman" w:cs="Times New Roman"/>
          <w:sz w:val="16"/>
          <w:szCs w:val="16"/>
        </w:rPr>
        <w:t xml:space="preserve"> Организация деятельности клубных формирований</w:t>
      </w:r>
      <w:r w:rsidRPr="009148E0">
        <w:rPr>
          <w:rFonts w:ascii="Times New Roman" w:hAnsi="Times New Roman" w:cs="Times New Roman"/>
          <w:bCs/>
          <w:sz w:val="16"/>
          <w:szCs w:val="16"/>
        </w:rPr>
        <w:t>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а также прочие мероприятия: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1.2. поддержка творческих инициатив населения, молодых дарований, а также организаций в сфере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1.3. организация работы с детьми, с гражданами с ограниченными физическими возможностями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1.4. укрепление единого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1.5. интеграция культуры Дичнянского сельсовета в культурное пространство Курчатовского района и межрегиональное пространство.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1.6. сохранение и развитие творческого потенциала муниципального образования.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1.7. </w:t>
      </w:r>
      <w:r w:rsidRPr="009148E0">
        <w:rPr>
          <w:rFonts w:ascii="Times New Roman" w:hAnsi="Times New Roman" w:cs="Times New Roman"/>
          <w:sz w:val="16"/>
          <w:szCs w:val="16"/>
        </w:rPr>
        <w:t>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основного мероприятия включает: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оказание муниципальных услуг (выполнение работ) в сфере культурно-досуговой деятельности и народного творчества учреждением культуры, находящимся в ведении муниципального образования «Дичнянский сельсовет» Курчатовского района Курской области;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основного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оказания услуг населению в различных областях развития самодеятельного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создание народными и самодеятельными коллективами новых концертных программ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с социально значимой тематикой, имеющих воспитательную функцию;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населением;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мероприятий по повышению качества репертуара и исполнительского мастерства народных и самодеятельных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художественного уровня самодеятельных коллективов, в особенности – для детей и подростков;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стимулирование и поддержка новых направлений, видов и жанров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народных и самодеятельных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реализация мер для привлечения в профессию молодых специалистов;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профессиональная переподготовка и повышение квалификации руководителей самодеятельных коллективов в районе и области;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услуг и использования бюджетных средств на обеспечение деятельности самодеятельных коллективов.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а) муниципальной программы: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прирост количества посетителей культурно-просветительских мероприятий, проведенных учреждением культуры по отношению к уровню предыдущего года (человек, процентов);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б) подпрограммы 1: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зрителей на мероприятиях учреждений культуры в расчете на 1 тыс.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основного мероприятия 1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качества и доступности услуг народных и других самодеятельных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заработной платы руководителей данных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народных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будет реализоваться на протяжении всего периода действия муниципальной программы – с 2019 по 2025 годы.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Основное мероприятие 1 направленно на достижение следующих 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уровня качества и повышение доступности услуг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муниципальной поддержки художественных коллективов, молодых дарований;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материально-технической базы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обобщение опыта работы учреждений культуры по профилактике терроризма и экстремизма;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повышение эффективности использования бюджетных средств, направляемых на оказание поддержки развития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увеличение показателей по основным видам деятельности учреждения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межрайонного и межмуниципального культурного сотрудничества;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сохранение и развитие творческого потенциала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улучшение и совершенствование деятельности учреждений культуры ДИЧНЯНСКОГО сельсовета Курчатовского района Курской области.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Характеристика прочих мероприятий.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1.2 «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Поддержка творческих инициатив населения, молодых дарований, а также организаций в сфере культуры» </w:t>
      </w:r>
      <w:r w:rsidRPr="009148E0">
        <w:rPr>
          <w:rFonts w:ascii="Times New Roman" w:hAnsi="Times New Roman" w:cs="Times New Roman"/>
          <w:sz w:val="16"/>
          <w:szCs w:val="16"/>
        </w:rPr>
        <w:t>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прирост количества посещений культурно-просветительских мероприятий, проведенных учреждениями культуры по сравнению с предыдущим годом;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населения, участвующего в платных культурно-досуговых мероприятиях, проводимых   учреждениями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среднее число участников клубных формирований в расчете на 1 тыс. человек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обеспеченность зрительскими местами учреждений культурно-досугового типа в    расчете на 1 тыс. человек населения.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прирост числа участников и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победителей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районных и областных конкурсов и фестивалей в сфере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мероприятия 1.2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-высокий уровень качества и доступности культурно-досуговых услуг;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-обеспечение муниципальной поддержки молодых дарований.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-укрепление материально-технической базы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-новый качественный уровень развития бюджетной сети учреждений культурно-досугового типа.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Мероприятие 1.3 «Организация работы с детьми, с гражданами с ограниченными физическими возможностями»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Выполнение данного мероприятия направлено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на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lastRenderedPageBreak/>
        <w:t>-создание благоприятных условий для улучшения культурно-досугового обслуживания детей и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 организацию доступности участия всего населения в культурной жизни муниципального образования, в том числе пенсионеров, ветеранов войны и труда, а также лиц с ограниченными возможностями - в активную социокультурную деятельность.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1.4 «Укрепление единого культурного пространства Дичнянского сельсовета».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мероприятия направлено: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на дальнейшее формирование и укрепление культурного пространства муниципального образования;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Организация и проведение выездных мероприятий;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мероприятий, направленных на увековечение памяти выдающихся земляков.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1.4 направлено на достижение следующих показателей: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удельный вес населения муниципального образования, участвующего в платных культурно-досуговых мероприятиях, проводимых учреждениями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увеличение количества культурно-досуговых мероприятий.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Результатами реализации мероприятия 1.4 станут: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дальнейшее формирование художественно-эстетического вкуса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многообразия и дальнейшее развитие традиций народной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1.5. </w:t>
      </w:r>
      <w:r w:rsidRPr="009148E0">
        <w:rPr>
          <w:rFonts w:ascii="Times New Roman" w:hAnsi="Times New Roman" w:cs="Times New Roman"/>
          <w:bCs/>
          <w:sz w:val="16"/>
          <w:szCs w:val="16"/>
        </w:rPr>
        <w:t>«Интеграция культуры Дичнянского сельсовета в культурное пространство Курчатовского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Выполнение данного мероприятия направлено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>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развитие межмуниципальных творческих связей Курчатовского района, в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>. в рамках возможных заключённых Соглашений;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дальнейшее формирование положительного имиджа муниципального образования «Дичнянский сельсовет» Курчатовского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районе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и за его пределами.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проведение мероприятий по обеспечению культурного обмена с другими муниципальными образованиями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развитие материальной базы и переоснащение учреждений культуры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подача заявок на получение и освоение субсидий из областного бюджета бюджету муниципального образования на </w:t>
      </w:r>
      <w:proofErr w:type="spellStart"/>
      <w:r w:rsidRPr="009148E0">
        <w:rPr>
          <w:rFonts w:ascii="Times New Roman" w:hAnsi="Times New Roman" w:cs="Times New Roman"/>
          <w:sz w:val="16"/>
          <w:szCs w:val="16"/>
        </w:rPr>
        <w:t>софинансирование</w:t>
      </w:r>
      <w:proofErr w:type="spellEnd"/>
      <w:r w:rsidRPr="009148E0">
        <w:rPr>
          <w:rFonts w:ascii="Times New Roman" w:hAnsi="Times New Roman" w:cs="Times New Roman"/>
          <w:sz w:val="16"/>
          <w:szCs w:val="16"/>
        </w:rPr>
        <w:t xml:space="preserve"> расходных обязательств местного бюджета по проведению капитального ремонта учреждений культуры сельских поселений.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1.6 «Сохранение и развитие творческого потенциала Дичнянского сельсовета».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Главной целью данного мероприятия является обеспечение свободы творчества и прав граждан, проживающих на территории муниципального образования, в сфере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данного мероприятия направлено: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на поддержку творческих инициатив, выдвигаемых общественными организациями и отдельными гражданами,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 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указанного мероприятия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финансовая поддержка творческих проектов, имеющих социальную значимость;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чествование юбиляров – мастеров искусств, руководителей учреждений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издание буклетов и другой печатной продукции о творческих коллективах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Мероприятие 1.6 направлено на достижение следующих показателей: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Результатами реализации мероприятия 1.6. станут: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высокий уровень творческих достижений и повышение престижа деятелей культуры и искусства;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участие не менее 2-х раз в районных мероприятиях и творческих конкурсах в сфере культуры и искусства.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мероприятия 1.7: </w:t>
      </w:r>
      <w:r w:rsidRPr="009148E0">
        <w:rPr>
          <w:rFonts w:ascii="Times New Roman" w:hAnsi="Times New Roman" w:cs="Times New Roman"/>
          <w:sz w:val="16"/>
          <w:szCs w:val="16"/>
        </w:rPr>
        <w:t>«Своевременное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Выполнение мероприятия 1.7 направлено на предоставление специалистам учреждений культуры, расположенных в сельской местности субсидий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мероприятия 1.7 планируется: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получение и своевременное и полное освоение субсидий из областного бюджета бюджету муниципального образования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мероприятие 1.7 направленно на достижение 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следующих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результатов: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-финансовое обеспечение муниципальной программы и подпрограммы 1 и повышение эффективности использования средств областного и местного бюджетов;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-поддержанию уровня заработной платы работников учреждений культурно-досугового типа;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 повышение уровня и качества жизни сельских работников культуры.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Реализация в полном объеме мероприятия 1.7 муниципальной программы будет способствовать улучшению качества кадрового состава учреждений культуры, созданию эффективной системы управления реализацией муниципальной программы, эффективному управление сферой культуры на территории поселения.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148E0">
        <w:rPr>
          <w:rFonts w:ascii="Times New Roman" w:hAnsi="Times New Roman" w:cs="Times New Roman"/>
          <w:sz w:val="16"/>
          <w:szCs w:val="16"/>
        </w:rPr>
        <w:t xml:space="preserve">Исполнителем основного мероприятия 1 и прочих мероприятий в части обеспечения деятельности учреждения культуры является Администрация Дичнянского сельсовета Курчатовского района Курской области; участником исполнения –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Муниципальное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казенное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9148E0">
        <w:rPr>
          <w:rFonts w:ascii="Times New Roman" w:hAnsi="Times New Roman" w:cs="Times New Roman"/>
          <w:sz w:val="16"/>
          <w:szCs w:val="16"/>
          <w:lang w:val="de-DE"/>
        </w:rPr>
        <w:t>учреждение</w:t>
      </w:r>
      <w:proofErr w:type="spellEnd"/>
      <w:r w:rsidRPr="009148E0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«Центр Культуры и Досуга» Дичнянского сельсовета основное мероприятие 1 и прочие мероприятия будут реализоваться на протяжении всего периода действия муниципальной программы – с 2019 по 2025 годы, в один этап.</w:t>
      </w:r>
      <w:proofErr w:type="gramEnd"/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Перечень основного мероприятия </w:t>
      </w:r>
      <w:r w:rsidRPr="009148E0">
        <w:rPr>
          <w:rFonts w:ascii="Times New Roman" w:hAnsi="Times New Roman" w:cs="Times New Roman"/>
          <w:sz w:val="16"/>
          <w:szCs w:val="16"/>
        </w:rPr>
        <w:t>подпрограммы</w:t>
      </w:r>
      <w:r w:rsidRPr="009148E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148E0">
        <w:rPr>
          <w:rFonts w:ascii="Times New Roman" w:hAnsi="Times New Roman" w:cs="Times New Roman"/>
          <w:sz w:val="16"/>
          <w:szCs w:val="16"/>
        </w:rPr>
        <w:t>муниципальной программы приведен в таблице №2 Приложении № 1 к Программе.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 сельсовета Курчатовского района Курской области.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 xml:space="preserve">Инвестиционные проекты, исполнение которых полностью или частично </w:t>
      </w:r>
      <w:proofErr w:type="gramStart"/>
      <w:r w:rsidRPr="009148E0">
        <w:rPr>
          <w:rFonts w:ascii="Times New Roman" w:hAnsi="Times New Roman" w:cs="Times New Roman"/>
          <w:bCs/>
          <w:sz w:val="16"/>
          <w:szCs w:val="16"/>
        </w:rPr>
        <w:t>осуществляется за счет средств местного бюджета в случае их реализации в сфере социально-экономического развития Дичнянского сельсовета Курчатовского района Курской области данной подпрограммой не предусмотрены</w:t>
      </w:r>
      <w:proofErr w:type="gramEnd"/>
      <w:r w:rsidRPr="009148E0">
        <w:rPr>
          <w:rFonts w:ascii="Times New Roman" w:hAnsi="Times New Roman" w:cs="Times New Roman"/>
          <w:bCs/>
          <w:sz w:val="16"/>
          <w:szCs w:val="16"/>
        </w:rPr>
        <w:t>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5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>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 xml:space="preserve">6. 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В рамках реализации подпрограммы  планируется осуществление следующих основных мероприятий: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Обеспечение деятельности органов местного самоуправления и муниципальных учреждений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оказание мер социальной поддержки отдельным категориям граждан</w:t>
      </w:r>
      <w:r w:rsidRPr="009148E0">
        <w:rPr>
          <w:rFonts w:ascii="Times New Roman" w:hAnsi="Times New Roman" w:cs="Times New Roman"/>
          <w:sz w:val="16"/>
          <w:szCs w:val="16"/>
        </w:rPr>
        <w:t xml:space="preserve"> сохранение и развитие кинообслуживания населения;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традиционной народной культуры,  поддержка сельской культуры;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поддержка творческих инициатив населения, организаций в сфере культуры, творческих коллективов;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сохранение и развитие творческого потенциала Курчатовского района;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поддержка учреждений, работающих с детьми;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укрепление единого культурного пространства района.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sz w:val="16"/>
          <w:szCs w:val="16"/>
        </w:rPr>
        <w:t>7. Информация об участии предприятий и организаций независимо от их организационно-правовых форм и форм собственности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 xml:space="preserve">Участие предприятий и организаций, государственных внебюджетных фондов в реализации подпрограммы не предусмотрено. 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bCs/>
          <w:iCs/>
          <w:sz w:val="16"/>
          <w:szCs w:val="16"/>
        </w:rPr>
        <w:t>8</w:t>
      </w:r>
      <w:r w:rsidRPr="009148E0">
        <w:rPr>
          <w:rFonts w:ascii="Times New Roman" w:hAnsi="Times New Roman" w:cs="Times New Roman"/>
          <w:b/>
          <w:bCs/>
          <w:iCs/>
          <w:sz w:val="16"/>
          <w:szCs w:val="16"/>
          <w:lang w:val="x-none"/>
        </w:rPr>
        <w:t>. Обоснование объема финансовых ресурсов, необходимых для реализации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Финансирование подпрограммы осуществляется за счет средств муниципального бюджета Дичнянского сельсовета Курчатовского района Курской области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9. Анализ рисков реализации подпрограммы и описание мер управления рисками реализации подпрограммы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</w:t>
      </w:r>
      <w:proofErr w:type="gramStart"/>
      <w:r w:rsidRPr="009148E0">
        <w:rPr>
          <w:rFonts w:ascii="Times New Roman" w:hAnsi="Times New Roman" w:cs="Times New Roman"/>
          <w:sz w:val="16"/>
          <w:szCs w:val="16"/>
        </w:rPr>
        <w:t>о-</w:t>
      </w:r>
      <w:proofErr w:type="gramEnd"/>
      <w:r w:rsidRPr="009148E0">
        <w:rPr>
          <w:rFonts w:ascii="Times New Roman" w:hAnsi="Times New Roman" w:cs="Times New Roman"/>
          <w:sz w:val="16"/>
          <w:szCs w:val="16"/>
        </w:rPr>
        <w:t xml:space="preserve"> досуговой деятельности.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Приложение№1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Таблица№1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148E0">
        <w:rPr>
          <w:rFonts w:ascii="Times New Roman" w:hAnsi="Times New Roman" w:cs="Times New Roman"/>
          <w:bCs/>
          <w:sz w:val="16"/>
          <w:szCs w:val="16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1134"/>
        <w:gridCol w:w="1418"/>
        <w:gridCol w:w="1559"/>
        <w:gridCol w:w="1560"/>
        <w:gridCol w:w="9"/>
      </w:tblGrid>
      <w:tr w:rsidR="001F3E99" w:rsidRPr="009148E0" w:rsidTr="00014C23">
        <w:trPr>
          <w:gridAfter w:val="1"/>
          <w:wAfter w:w="9" w:type="dxa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2021-25</w:t>
            </w: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культуры»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...1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1F3E99" w:rsidRPr="009148E0" w:rsidTr="00014C23">
        <w:trPr>
          <w:gridAfter w:val="1"/>
          <w:wAfter w:w="9" w:type="dxa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 «Искусство»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..1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число зрителей на платных культурно-досуговых мероприятиях в расчёте на 1000 человек; (человек) (если есть </w:t>
            </w:r>
            <w:proofErr w:type="spell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слуги</w:t>
            </w:r>
            <w:proofErr w:type="spell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художественного творчества (количество клубных формирований)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удельный вес населения, участвующего в клубных формированиях в расчете на 1000 человек населения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работников в учреждении, обеспечивающих реализацию целевых индикаторов и показателей муниципальной программы и подпрограммы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2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rPr>
          <w:rFonts w:ascii="Times New Roman" w:hAnsi="Times New Roman" w:cs="Times New Roman"/>
          <w:sz w:val="16"/>
          <w:szCs w:val="16"/>
        </w:rPr>
      </w:pPr>
      <w:bookmarkStart w:id="1" w:name="P642"/>
      <w:bookmarkEnd w:id="1"/>
      <w:r w:rsidRPr="009148E0">
        <w:rPr>
          <w:rFonts w:ascii="Times New Roman" w:hAnsi="Times New Roman" w:cs="Times New Roman"/>
          <w:b/>
          <w:sz w:val="16"/>
          <w:szCs w:val="16"/>
        </w:rPr>
        <w:t xml:space="preserve">Перечень основных мероприятий муниципальной программы </w:t>
      </w:r>
      <w:r w:rsidRPr="009148E0">
        <w:rPr>
          <w:rFonts w:ascii="Times New Roman" w:hAnsi="Times New Roman" w:cs="Times New Roman"/>
          <w:b/>
          <w:bCs/>
          <w:sz w:val="16"/>
          <w:szCs w:val="16"/>
        </w:rPr>
        <w:t>«Развитие культуры»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83"/>
        <w:gridCol w:w="992"/>
        <w:gridCol w:w="850"/>
        <w:gridCol w:w="709"/>
        <w:gridCol w:w="1418"/>
        <w:gridCol w:w="1559"/>
        <w:gridCol w:w="1428"/>
      </w:tblGrid>
      <w:tr w:rsidR="001F3E99" w:rsidRPr="009148E0" w:rsidTr="00014C23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Последствия не реализации основного мероприятия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муниципальной программы (подпрограммы)</w:t>
            </w:r>
          </w:p>
        </w:tc>
      </w:tr>
      <w:tr w:rsidR="001F3E99" w:rsidRPr="009148E0" w:rsidTr="00014C23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«Искусство» 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</w:t>
            </w:r>
          </w:p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«Обеспечение деятельности (оказание услуг) учреждением культурно-досугового типа»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Администрация ДИЧНЯНСКОГО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Рост уровня качества и повышение доступности услуг учреждений культурно-досугового типа;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муниципальной поддержки художественных коллективов, молодых дарований;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технической базы учреждений культурно-досугового типа;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обобщение опыта работы учреждений культуры по профилактике терроризма и экстремизма;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бюджетных средств, направляемых на оказание поддержки развития культуры и искусства;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увеличение показателей по основным видам деятельности учреждения культуры;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укрепление межрайонного и межмуниципального культурного сотрудничества;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сохранение и развитие творческого потенциала муниципального образования;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улучшение и совершенствование   деятельности учреждений культуры Дичнянского  сельсовета Курчатовского района Курской области.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сокращение сети учреждений культуры; 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качества оказания муниципальных услуг;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утрата возможности реализации творческих способностей одаренных детей и молодежи;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частичная утрата уровня мастерства в различных жанрах художественного творчества;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частичная утрата традиций исполнительской культуры в различных жанрах искусства;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имиджа муниципального образования в районе;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снижение спектра оказываемых услуг населению муниципального образования.</w:t>
            </w: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Оказывает влияние на показатели: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среднее число зрителей на платных культурно-досуговых мероприятиях в расчёте на 1000 человек;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среднее число участников клубных формирований в расчете на 1 тыс. человек населения;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населения, участвующего в клубных формированиях в расчете на 1000 человек населения; </w:t>
            </w:r>
          </w:p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детей, </w:t>
            </w: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привлекаемых к участию в творческих мероприятиях от общего числа детей.</w:t>
            </w: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3E99" w:rsidRPr="009148E0" w:rsidRDefault="001F3E99" w:rsidP="001F3E99">
      <w:pPr>
        <w:widowControl w:val="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3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Сведения об основных мерах правового регулирования в сфере реализации муниципальной программы (подпрограммы)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559"/>
        <w:gridCol w:w="3119"/>
        <w:gridCol w:w="2277"/>
      </w:tblGrid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</w:t>
            </w:r>
            <w:proofErr w:type="gramStart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Вид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Ожидаемые сроки принятия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«Развитие культуры» в МО «Дичнянский се6льсовет»  Курчатовского района Курской области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«Искусство»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  <w:proofErr w:type="gramStart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:«</w:t>
            </w:r>
            <w:proofErr w:type="gramEnd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деятельности (оказание услуг) учреждением культурно-досугового типа»</w:t>
            </w:r>
          </w:p>
        </w:tc>
      </w:tr>
      <w:tr w:rsidR="001F3E99" w:rsidRPr="009148E0" w:rsidTr="00014C2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Администрации Дичнянского сельсовета Курчатовского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плане мероприятий («дорожная карта») «Изменения в отраслях социальной сферы,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направленные на повышение эффективности сферы культуры».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Администрации Дичнянского сельсовета Курчатовского района Курской области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ежегодно,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III </w:t>
            </w:r>
            <w:r w:rsidRPr="009148E0">
              <w:rPr>
                <w:rFonts w:ascii="Times New Roman" w:hAnsi="Times New Roman" w:cs="Times New Roman"/>
                <w:bCs/>
                <w:sz w:val="16"/>
                <w:szCs w:val="16"/>
              </w:rPr>
              <w:t>квартал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№5</w:t>
      </w:r>
    </w:p>
    <w:p w:rsidR="001F3E99" w:rsidRPr="009148E0" w:rsidRDefault="001F3E99" w:rsidP="001F3E99">
      <w:pPr>
        <w:widowControl w:val="0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Ресурсное обеспечение реализации муниципальной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программы за счет средств местного бюджета</w:t>
      </w: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9148E0">
        <w:rPr>
          <w:rFonts w:ascii="Times New Roman" w:hAnsi="Times New Roman" w:cs="Times New Roman"/>
          <w:b/>
          <w:sz w:val="16"/>
          <w:szCs w:val="16"/>
        </w:rPr>
        <w:t>(рублей)</w:t>
      </w: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6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275"/>
        <w:gridCol w:w="491"/>
        <w:gridCol w:w="605"/>
        <w:gridCol w:w="671"/>
        <w:gridCol w:w="484"/>
        <w:gridCol w:w="792"/>
        <w:gridCol w:w="850"/>
        <w:gridCol w:w="851"/>
        <w:gridCol w:w="860"/>
      </w:tblGrid>
      <w:tr w:rsidR="001F3E99" w:rsidRPr="009148E0" w:rsidTr="00014C2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бюджетной классификации </w:t>
            </w:r>
            <w:hyperlink w:anchor="P1179" w:history="1">
              <w:r w:rsidRPr="009148E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</w:t>
            </w:r>
            <w:hyperlink w:anchor="P1180" w:history="1">
              <w:r w:rsidRPr="009148E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&lt;2&gt;</w:t>
              </w:r>
            </w:hyperlink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(рублей), годы</w:t>
            </w:r>
          </w:p>
        </w:tc>
      </w:tr>
      <w:tr w:rsidR="001F3E99" w:rsidRPr="009148E0" w:rsidTr="00014C2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Рз</w:t>
            </w:r>
            <w:proofErr w:type="spellEnd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.2022-2025</w:t>
            </w:r>
          </w:p>
        </w:tc>
      </w:tr>
      <w:tr w:rsidR="001F3E99" w:rsidRPr="009148E0" w:rsidTr="00014C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1F3E99" w:rsidRPr="009148E0" w:rsidTr="00014C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«Развитие культуры» в МО «Дичнянский се6льсовет»  Курчатовского района Курской области</w:t>
            </w:r>
          </w:p>
          <w:p w:rsidR="001F3E99" w:rsidRPr="009148E0" w:rsidRDefault="001F3E99" w:rsidP="00014C23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181" w:history="1">
              <w:r w:rsidRPr="009148E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01101С</w:t>
            </w:r>
          </w:p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1401</w:t>
            </w:r>
          </w:p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  <w:r w:rsidR="00014C23">
              <w:rPr>
                <w:rFonts w:ascii="Times New Roman" w:hAnsi="Times New Roman" w:cs="Times New Roman"/>
                <w:b/>
                <w:sz w:val="16"/>
                <w:szCs w:val="16"/>
              </w:rPr>
              <w:t>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1930484,44</w:t>
            </w:r>
          </w:p>
          <w:p w:rsidR="001F3E99" w:rsidRPr="009148E0" w:rsidRDefault="001F3E99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6723740</w:t>
            </w:r>
          </w:p>
        </w:tc>
      </w:tr>
      <w:tr w:rsidR="00014C23" w:rsidRPr="009148E0" w:rsidTr="00014C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«Искусство»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suppressAutoHyphens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МКУ 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ЦКи</w:t>
            </w:r>
            <w:proofErr w:type="spellEnd"/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Д» Дичнянского сельсовета </w:t>
            </w:r>
          </w:p>
          <w:p w:rsidR="00014C23" w:rsidRPr="000F3B7D" w:rsidRDefault="00014C23" w:rsidP="00014C23">
            <w:pPr>
              <w:suppressAutoHyphens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01101С</w:t>
            </w: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1401</w:t>
            </w: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1930484,44</w:t>
            </w:r>
          </w:p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6723740</w:t>
            </w:r>
          </w:p>
        </w:tc>
      </w:tr>
    </w:tbl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rPr>
          <w:rFonts w:ascii="Times New Roman" w:hAnsi="Times New Roman" w:cs="Times New Roman"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Таблица 6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F3E99" w:rsidRPr="009148E0" w:rsidRDefault="001F3E99" w:rsidP="001F3E99">
      <w:pPr>
        <w:widowControl w:val="0"/>
        <w:suppressAutoHyphens w:val="0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1185"/>
      <w:bookmarkEnd w:id="2"/>
      <w:r w:rsidRPr="009148E0">
        <w:rPr>
          <w:rFonts w:ascii="Times New Roman" w:hAnsi="Times New Roman" w:cs="Times New Roman"/>
          <w:b/>
          <w:sz w:val="16"/>
          <w:szCs w:val="16"/>
        </w:rPr>
        <w:t>Ресурсное обеспечение и прогнозная (справочная) оценка расходов федерального бюджета, областного бюджета, местных бюджетов и внебюджетных источников на реализацию целей муниципальной программы</w:t>
      </w:r>
    </w:p>
    <w:p w:rsidR="001F3E99" w:rsidRPr="009148E0" w:rsidRDefault="001F3E99" w:rsidP="001F3E99">
      <w:pPr>
        <w:widowControl w:val="0"/>
        <w:suppressAutoHyphens w:val="0"/>
        <w:jc w:val="right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95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134"/>
        <w:gridCol w:w="1247"/>
        <w:gridCol w:w="28"/>
        <w:gridCol w:w="1134"/>
        <w:gridCol w:w="29"/>
        <w:gridCol w:w="974"/>
      </w:tblGrid>
      <w:tr w:rsidR="001F3E99" w:rsidRPr="009148E0" w:rsidTr="00014C2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Оценка расходов (руб.), годы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год</w:t>
            </w:r>
          </w:p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первый год планового периода</w:t>
            </w:r>
          </w:p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второй год планового периода</w:t>
            </w:r>
          </w:p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.2022-2025</w:t>
            </w:r>
          </w:p>
        </w:tc>
      </w:tr>
      <w:tr w:rsidR="001F3E99" w:rsidRPr="009148E0" w:rsidTr="00014C23">
        <w:trPr>
          <w:trHeight w:val="1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14C23" w:rsidRPr="009148E0" w:rsidTr="00014C23">
        <w:trPr>
          <w:trHeight w:val="4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  <w:r w:rsidRPr="009148E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  <w:p w:rsidR="00014C23" w:rsidRPr="009148E0" w:rsidRDefault="00014C23" w:rsidP="00014C23">
            <w:pPr>
              <w:pStyle w:val="a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культуры» в МО «Дичнянский се6льсовет»  Курчатовского района Курской области</w:t>
            </w:r>
          </w:p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C23" w:rsidRPr="009148E0" w:rsidRDefault="00014C23" w:rsidP="00014C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1930484,44</w:t>
            </w:r>
          </w:p>
          <w:p w:rsidR="00014C23" w:rsidRPr="009148E0" w:rsidRDefault="00014C23" w:rsidP="00014C23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C23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6723740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91658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232097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192571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1107632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2499937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1677244,14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0F3B7D" w:rsidRDefault="00014C23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6531169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  <w:hyperlink w:anchor="P1293" w:history="1">
              <w:r w:rsidRPr="009148E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17FF" w:rsidRPr="009148E0" w:rsidTr="00014C2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pStyle w:val="a6"/>
              <w:snapToGrid w:val="0"/>
              <w:rPr>
                <w:b/>
                <w:sz w:val="16"/>
                <w:szCs w:val="16"/>
              </w:rPr>
            </w:pPr>
            <w:r w:rsidRPr="009148E0">
              <w:rPr>
                <w:b/>
                <w:bCs/>
                <w:sz w:val="16"/>
                <w:szCs w:val="16"/>
              </w:rPr>
              <w:t>Подпрограмма</w:t>
            </w:r>
          </w:p>
          <w:p w:rsidR="007717FF" w:rsidRPr="009148E0" w:rsidRDefault="007717FF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7FF" w:rsidRPr="009148E0" w:rsidRDefault="007717FF" w:rsidP="00014C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«Искусство»</w:t>
            </w:r>
          </w:p>
          <w:p w:rsidR="007717FF" w:rsidRPr="009148E0" w:rsidRDefault="007717FF" w:rsidP="00014C23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7FF" w:rsidRPr="009148E0" w:rsidRDefault="007717FF" w:rsidP="00014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Основное мероприятие «Обеспечение деятельности (оказание услуг) учреждением культурно-досугового типа»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1431388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2673801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1930484,44</w:t>
            </w:r>
          </w:p>
          <w:p w:rsidR="007717FF" w:rsidRPr="009148E0" w:rsidRDefault="007717FF" w:rsidP="008F4120">
            <w:pPr>
              <w:autoSpaceDE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6723740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91658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7717FF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232097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173864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192571</w:t>
            </w:r>
          </w:p>
        </w:tc>
      </w:tr>
      <w:tr w:rsidR="007717FF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1107632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148E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148E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2499937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FF" w:rsidRPr="009148E0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1677244,14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FF" w:rsidRPr="000F3B7D" w:rsidRDefault="007717FF" w:rsidP="008F41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6531169</w:t>
            </w: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3E99" w:rsidRPr="009148E0" w:rsidTr="00014C23">
        <w:trPr>
          <w:trHeight w:val="3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pStyle w:val="a6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suppressAutoHyphens w:val="0"/>
              <w:autoSpaceDE/>
              <w:snapToGrid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48E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E99" w:rsidRPr="009148E0" w:rsidRDefault="001F3E99" w:rsidP="00014C23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F3E99" w:rsidRPr="009148E0" w:rsidRDefault="001F3E99" w:rsidP="001F3E99">
      <w:pPr>
        <w:widowControl w:val="0"/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  <w:r w:rsidRPr="009148E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F3E99" w:rsidRDefault="001F3E99"/>
    <w:sectPr w:rsidR="001F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A1"/>
    <w:rsid w:val="00014C23"/>
    <w:rsid w:val="001024CC"/>
    <w:rsid w:val="001F3E99"/>
    <w:rsid w:val="003C17F9"/>
    <w:rsid w:val="005C4976"/>
    <w:rsid w:val="005E3CA1"/>
    <w:rsid w:val="007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99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E99"/>
    <w:rPr>
      <w:color w:val="000080"/>
      <w:u w:val="single"/>
    </w:rPr>
  </w:style>
  <w:style w:type="paragraph" w:styleId="a4">
    <w:name w:val="Body Text"/>
    <w:basedOn w:val="a"/>
    <w:link w:val="a5"/>
    <w:rsid w:val="001F3E99"/>
    <w:pPr>
      <w:spacing w:after="120"/>
    </w:pPr>
  </w:style>
  <w:style w:type="character" w:customStyle="1" w:styleId="a5">
    <w:name w:val="Основной текст Знак"/>
    <w:basedOn w:val="a0"/>
    <w:link w:val="a4"/>
    <w:rsid w:val="001F3E9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F3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1F3E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E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99"/>
    <w:pPr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E99"/>
    <w:rPr>
      <w:color w:val="000080"/>
      <w:u w:val="single"/>
    </w:rPr>
  </w:style>
  <w:style w:type="paragraph" w:styleId="a4">
    <w:name w:val="Body Text"/>
    <w:basedOn w:val="a"/>
    <w:link w:val="a5"/>
    <w:rsid w:val="001F3E99"/>
    <w:pPr>
      <w:spacing w:after="120"/>
    </w:pPr>
  </w:style>
  <w:style w:type="character" w:customStyle="1" w:styleId="a5">
    <w:name w:val="Основной текст Знак"/>
    <w:basedOn w:val="a0"/>
    <w:link w:val="a4"/>
    <w:rsid w:val="001F3E9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F3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1F3E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E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10426</Words>
  <Characters>59434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2022-02-10T13:28:00Z</cp:lastPrinted>
  <dcterms:created xsi:type="dcterms:W3CDTF">2021-11-22T13:38:00Z</dcterms:created>
  <dcterms:modified xsi:type="dcterms:W3CDTF">2022-02-10T13:29:00Z</dcterms:modified>
</cp:coreProperties>
</file>